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20" w:rsidRPr="001C74E4" w:rsidRDefault="005B7120" w:rsidP="00433AF0">
      <w:pPr>
        <w:jc w:val="both"/>
      </w:pPr>
    </w:p>
    <w:p w:rsidR="00123E14" w:rsidRPr="001C74E4" w:rsidRDefault="00123E14" w:rsidP="00433AF0">
      <w:pPr>
        <w:jc w:val="both"/>
        <w:rPr>
          <w:b/>
        </w:rPr>
        <w:sectPr w:rsidR="00123E14" w:rsidRPr="001C74E4" w:rsidSect="007D5A03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2835" w:right="1134" w:bottom="1134" w:left="1701" w:header="709" w:footer="709" w:gutter="0"/>
          <w:cols w:space="708"/>
          <w:docGrid w:linePitch="360"/>
        </w:sectPr>
      </w:pPr>
    </w:p>
    <w:p w:rsidR="00123E14" w:rsidRPr="001C74E4" w:rsidRDefault="00CC2A4D" w:rsidP="00433AF0">
      <w:pPr>
        <w:jc w:val="both"/>
        <w:rPr>
          <w:b/>
        </w:rPr>
      </w:pPr>
      <w:r w:rsidRPr="001C74E4">
        <w:rPr>
          <w:b/>
        </w:rPr>
        <w:lastRenderedPageBreak/>
        <w:t xml:space="preserve">OFÍCIO Nº. </w:t>
      </w:r>
      <w:r w:rsidR="000E735D">
        <w:rPr>
          <w:b/>
        </w:rPr>
        <w:t>013</w:t>
      </w:r>
      <w:r w:rsidRPr="001C74E4">
        <w:rPr>
          <w:b/>
        </w:rPr>
        <w:t>/201</w:t>
      </w:r>
      <w:r w:rsidR="00A915A6">
        <w:rPr>
          <w:b/>
        </w:rPr>
        <w:t>7</w:t>
      </w:r>
      <w:r w:rsidRPr="001C74E4">
        <w:rPr>
          <w:b/>
        </w:rPr>
        <w:t xml:space="preserve"> – </w:t>
      </w:r>
      <w:r w:rsidR="00343DC5" w:rsidRPr="001C74E4">
        <w:rPr>
          <w:b/>
        </w:rPr>
        <w:t>SCI</w:t>
      </w:r>
    </w:p>
    <w:p w:rsidR="00123E14" w:rsidRPr="001C74E4" w:rsidRDefault="00123E14" w:rsidP="00954566">
      <w:pPr>
        <w:jc w:val="right"/>
      </w:pPr>
      <w:r w:rsidRPr="001C74E4">
        <w:lastRenderedPageBreak/>
        <w:t xml:space="preserve">Gaspar, </w:t>
      </w:r>
      <w:r w:rsidR="00A915A6">
        <w:t>31</w:t>
      </w:r>
      <w:r w:rsidRPr="001C74E4">
        <w:t xml:space="preserve"> de </w:t>
      </w:r>
      <w:r w:rsidR="00A915A6">
        <w:t>març</w:t>
      </w:r>
      <w:r w:rsidR="00343DC5" w:rsidRPr="001C74E4">
        <w:t>o</w:t>
      </w:r>
      <w:r w:rsidR="00A75231" w:rsidRPr="001C74E4">
        <w:t xml:space="preserve"> </w:t>
      </w:r>
      <w:r w:rsidR="00F77831" w:rsidRPr="001C74E4">
        <w:t>de 201</w:t>
      </w:r>
      <w:r w:rsidR="00343DC5" w:rsidRPr="001C74E4">
        <w:t>7</w:t>
      </w:r>
      <w:r w:rsidR="00F77831" w:rsidRPr="001C74E4">
        <w:t>.</w:t>
      </w:r>
    </w:p>
    <w:p w:rsidR="00123E14" w:rsidRPr="001C74E4" w:rsidRDefault="00123E14" w:rsidP="00433AF0">
      <w:pPr>
        <w:jc w:val="both"/>
        <w:sectPr w:rsidR="00123E14" w:rsidRPr="001C74E4" w:rsidSect="00123E14">
          <w:type w:val="continuous"/>
          <w:pgSz w:w="11906" w:h="16838"/>
          <w:pgMar w:top="2835" w:right="1134" w:bottom="1134" w:left="1701" w:header="709" w:footer="709" w:gutter="0"/>
          <w:cols w:num="2" w:space="708"/>
          <w:docGrid w:linePitch="360"/>
        </w:sectPr>
      </w:pPr>
    </w:p>
    <w:p w:rsidR="00123E14" w:rsidRPr="001C74E4" w:rsidRDefault="00123E14" w:rsidP="00433AF0">
      <w:pPr>
        <w:jc w:val="both"/>
      </w:pPr>
      <w:r w:rsidRPr="001C74E4">
        <w:lastRenderedPageBreak/>
        <w:t xml:space="preserve"> </w:t>
      </w:r>
    </w:p>
    <w:p w:rsidR="00123E14" w:rsidRPr="001C74E4" w:rsidRDefault="00123E14" w:rsidP="00433AF0">
      <w:pPr>
        <w:jc w:val="both"/>
      </w:pPr>
    </w:p>
    <w:p w:rsidR="00123E14" w:rsidRPr="001C74E4" w:rsidRDefault="00123E14" w:rsidP="00433AF0">
      <w:pPr>
        <w:jc w:val="both"/>
      </w:pPr>
    </w:p>
    <w:p w:rsidR="00123E14" w:rsidRPr="001C74E4" w:rsidRDefault="00D70770" w:rsidP="00433AF0">
      <w:pPr>
        <w:jc w:val="both"/>
      </w:pPr>
      <w:r w:rsidRPr="001C74E4">
        <w:t>A Vossa Excelência, o</w:t>
      </w:r>
      <w:r w:rsidR="00CC2A4D" w:rsidRPr="001C74E4">
        <w:t xml:space="preserve"> Senhor</w:t>
      </w:r>
      <w:r w:rsidR="00123E14" w:rsidRPr="001C74E4">
        <w:t>,</w:t>
      </w:r>
    </w:p>
    <w:p w:rsidR="00123E14" w:rsidRPr="001C74E4" w:rsidRDefault="00CC2A4D" w:rsidP="00433AF0">
      <w:pPr>
        <w:jc w:val="both"/>
        <w:rPr>
          <w:b/>
          <w:highlight w:val="yellow"/>
        </w:rPr>
      </w:pPr>
      <w:r w:rsidRPr="001C74E4">
        <w:rPr>
          <w:b/>
        </w:rPr>
        <w:t>Luiz Roberto Herbst</w:t>
      </w:r>
    </w:p>
    <w:p w:rsidR="00123E14" w:rsidRPr="001C74E4" w:rsidRDefault="00CC2A4D" w:rsidP="00433AF0">
      <w:pPr>
        <w:jc w:val="both"/>
      </w:pPr>
      <w:r w:rsidRPr="001C74E4">
        <w:t>Conselheiro Presidente</w:t>
      </w:r>
      <w:r w:rsidR="00343DC5" w:rsidRPr="001C74E4">
        <w:t>,</w:t>
      </w:r>
    </w:p>
    <w:p w:rsidR="00A271DF" w:rsidRPr="001C74E4" w:rsidRDefault="00A271DF" w:rsidP="00433AF0">
      <w:pPr>
        <w:jc w:val="both"/>
      </w:pPr>
    </w:p>
    <w:p w:rsidR="00CC2A4D" w:rsidRPr="001C74E4" w:rsidRDefault="00CC2A4D" w:rsidP="00433AF0">
      <w:pPr>
        <w:jc w:val="both"/>
      </w:pPr>
    </w:p>
    <w:p w:rsidR="00123E14" w:rsidRPr="001C74E4" w:rsidRDefault="00123E14" w:rsidP="00433AF0">
      <w:pPr>
        <w:jc w:val="both"/>
        <w:rPr>
          <w:b/>
        </w:rPr>
      </w:pPr>
      <w:r w:rsidRPr="001C74E4">
        <w:rPr>
          <w:b/>
        </w:rPr>
        <w:t>TRIBUNAL DE CONTAS DO ESTADO DE SANTA CATARINA</w:t>
      </w:r>
    </w:p>
    <w:p w:rsidR="00123E14" w:rsidRPr="001C74E4" w:rsidRDefault="00123E14" w:rsidP="00433AF0">
      <w:pPr>
        <w:jc w:val="both"/>
      </w:pPr>
      <w:r w:rsidRPr="001C74E4">
        <w:t>Rua Bulcão Vianna, 90 – Caixa Postal 733 - Centro.</w:t>
      </w:r>
    </w:p>
    <w:p w:rsidR="00123E14" w:rsidRPr="001C74E4" w:rsidRDefault="00123E14" w:rsidP="00433AF0">
      <w:pPr>
        <w:jc w:val="both"/>
      </w:pPr>
      <w:r w:rsidRPr="001C74E4">
        <w:t>Florianópolis – SC – CEP 88.010-970</w:t>
      </w:r>
    </w:p>
    <w:p w:rsidR="00123E14" w:rsidRPr="001C74E4" w:rsidRDefault="00123E14" w:rsidP="00433AF0">
      <w:pPr>
        <w:jc w:val="both"/>
      </w:pPr>
    </w:p>
    <w:p w:rsidR="00CC2A4D" w:rsidRPr="001C74E4" w:rsidRDefault="00CC2A4D" w:rsidP="00433AF0">
      <w:pPr>
        <w:jc w:val="both"/>
      </w:pPr>
    </w:p>
    <w:p w:rsidR="00123E14" w:rsidRPr="001C74E4" w:rsidRDefault="00123E14" w:rsidP="00433AF0">
      <w:pPr>
        <w:jc w:val="both"/>
      </w:pPr>
    </w:p>
    <w:p w:rsidR="00BA7A3F" w:rsidRPr="001C74E4" w:rsidRDefault="00123E14" w:rsidP="00BA7A3F">
      <w:pPr>
        <w:jc w:val="both"/>
        <w:rPr>
          <w:b/>
        </w:rPr>
      </w:pPr>
      <w:r w:rsidRPr="001C74E4">
        <w:t>ASSUNTO:</w:t>
      </w:r>
      <w:r w:rsidRPr="001C74E4">
        <w:rPr>
          <w:b/>
        </w:rPr>
        <w:t xml:space="preserve"> </w:t>
      </w:r>
      <w:r w:rsidR="00BA7A3F" w:rsidRPr="001C74E4">
        <w:rPr>
          <w:b/>
        </w:rPr>
        <w:t>RELATÓRIO DO ÓRGÃO DE CONTROLE INTERNO SOBRE A PRESTAÇÃO DE CONTAS DE GESTÃO DA</w:t>
      </w:r>
      <w:r w:rsidR="00E67D49" w:rsidRPr="001C74E4">
        <w:rPr>
          <w:b/>
        </w:rPr>
        <w:t>S UNIDADES GESTORAS DO MUNICÍPIO DE GASPAR</w:t>
      </w:r>
      <w:r w:rsidR="00BA7A3F" w:rsidRPr="001C74E4">
        <w:rPr>
          <w:b/>
        </w:rPr>
        <w:t xml:space="preserve"> CONFORME ART. 16 DA INSTRUÇÃO NORMATIVA N.TC-0020/2015.</w:t>
      </w:r>
    </w:p>
    <w:p w:rsidR="00123E14" w:rsidRPr="001C74E4" w:rsidRDefault="00123E14" w:rsidP="00433AF0">
      <w:pPr>
        <w:jc w:val="both"/>
      </w:pPr>
    </w:p>
    <w:p w:rsidR="00123E14" w:rsidRPr="001C74E4" w:rsidRDefault="00123E14" w:rsidP="00433AF0">
      <w:pPr>
        <w:jc w:val="both"/>
      </w:pPr>
    </w:p>
    <w:p w:rsidR="00343DC5" w:rsidRPr="001C74E4" w:rsidRDefault="00343DC5" w:rsidP="00433AF0">
      <w:pPr>
        <w:spacing w:after="120"/>
        <w:ind w:firstLine="851"/>
        <w:jc w:val="both"/>
        <w:rPr>
          <w:b/>
        </w:rPr>
      </w:pPr>
    </w:p>
    <w:p w:rsidR="00123E14" w:rsidRPr="001C74E4" w:rsidRDefault="00954566" w:rsidP="00433AF0">
      <w:pPr>
        <w:spacing w:after="120"/>
        <w:ind w:firstLine="851"/>
        <w:jc w:val="both"/>
        <w:rPr>
          <w:b/>
        </w:rPr>
      </w:pPr>
      <w:r w:rsidRPr="001C74E4">
        <w:rPr>
          <w:b/>
        </w:rPr>
        <w:t>Vossa Excelência</w:t>
      </w:r>
      <w:r w:rsidR="00123E14" w:rsidRPr="001C74E4">
        <w:rPr>
          <w:b/>
        </w:rPr>
        <w:t>,</w:t>
      </w:r>
    </w:p>
    <w:p w:rsidR="00123E14" w:rsidRPr="001C74E4" w:rsidRDefault="00123E14" w:rsidP="00433AF0">
      <w:pPr>
        <w:spacing w:after="120"/>
        <w:ind w:firstLine="851"/>
        <w:jc w:val="both"/>
      </w:pPr>
    </w:p>
    <w:p w:rsidR="00D61BDF" w:rsidRPr="001C74E4" w:rsidRDefault="00D61BDF" w:rsidP="00D61BDF">
      <w:pPr>
        <w:spacing w:after="120"/>
        <w:ind w:firstLine="851"/>
        <w:jc w:val="both"/>
      </w:pPr>
      <w:r w:rsidRPr="001C74E4">
        <w:t>Cumprimentando-o cordialmente, considerando o disposto no Art. 16 da Instrução Normativa N.TC-0020/2015 que “Estabelece critérios para organização e apresentação da prestação de contas anual, normas relativas à remessa de dados, informações e demonstrativos por meio eletrônico e dá outras providências.”.</w:t>
      </w:r>
    </w:p>
    <w:p w:rsidR="00D61BDF" w:rsidRPr="001C74E4" w:rsidRDefault="00D61BDF" w:rsidP="00D61BDF">
      <w:pPr>
        <w:spacing w:after="120"/>
        <w:ind w:firstLine="851"/>
        <w:jc w:val="both"/>
      </w:pPr>
      <w:r w:rsidRPr="001C74E4">
        <w:t>Encaminhamos abaixo as informações relativas ao relatório do Controle Interno de exame da prestação anual de contas das unidades gestoras do Município de Gaspar,</w:t>
      </w:r>
      <w:r w:rsidR="00825CCF">
        <w:t xml:space="preserve"> compreendendo as unidades gestora</w:t>
      </w:r>
      <w:r w:rsidR="000D264F">
        <w:t>s</w:t>
      </w:r>
      <w:r w:rsidR="00825CCF">
        <w:t xml:space="preserve">, </w:t>
      </w:r>
      <w:r w:rsidR="00825CCF" w:rsidRPr="00825CCF">
        <w:t>Prefeitura Municipal de Gaspar</w:t>
      </w:r>
      <w:r w:rsidR="00825CCF">
        <w:t xml:space="preserve">, </w:t>
      </w:r>
      <w:r w:rsidR="00825CCF" w:rsidRPr="00825CCF">
        <w:t>Serviço Autônomo Municipal de Água e Esgoto de Gaspar</w:t>
      </w:r>
      <w:r w:rsidR="00825CCF">
        <w:t xml:space="preserve">, </w:t>
      </w:r>
      <w:r w:rsidR="00825CCF" w:rsidRPr="00825CCF">
        <w:t>Fundação Municipal de Esportes de Gaspar</w:t>
      </w:r>
      <w:r w:rsidR="00825CCF">
        <w:t xml:space="preserve">, </w:t>
      </w:r>
      <w:r w:rsidR="00825CCF" w:rsidRPr="00825CCF">
        <w:t>Fundo Municipal da Criança e Adolescente de Gaspar</w:t>
      </w:r>
      <w:r w:rsidR="00825CCF">
        <w:t xml:space="preserve">, </w:t>
      </w:r>
      <w:r w:rsidR="00825CCF" w:rsidRPr="00825CCF">
        <w:t>Fundo Municipal de Assistência Social de Gaspar</w:t>
      </w:r>
      <w:r w:rsidR="000D264F">
        <w:t xml:space="preserve"> e </w:t>
      </w:r>
      <w:r w:rsidR="000D264F" w:rsidRPr="000D264F">
        <w:t>Fundo Municipal de Saúde de Gaspar</w:t>
      </w:r>
      <w:r w:rsidR="000D264F">
        <w:t>,</w:t>
      </w:r>
      <w:r w:rsidR="00825CCF">
        <w:t xml:space="preserve"> </w:t>
      </w:r>
      <w:r w:rsidRPr="001C74E4">
        <w:t xml:space="preserve">com os elementos indicados no Anexo VII da </w:t>
      </w:r>
      <w:r w:rsidR="000D264F" w:rsidRPr="000D264F">
        <w:t xml:space="preserve">Instrução Normativa </w:t>
      </w:r>
      <w:proofErr w:type="spellStart"/>
      <w:r w:rsidR="000D264F" w:rsidRPr="000D264F">
        <w:t>N.TC-0020/2015</w:t>
      </w:r>
      <w:r w:rsidRPr="001C74E4">
        <w:t>,</w:t>
      </w:r>
      <w:proofErr w:type="spellEnd"/>
      <w:r w:rsidRPr="001C74E4">
        <w:t xml:space="preserve"> como passamos a expor abaixo: </w:t>
      </w:r>
    </w:p>
    <w:p w:rsidR="00D61BDF" w:rsidRPr="001C74E4" w:rsidRDefault="00D61BDF" w:rsidP="00343DC5">
      <w:pPr>
        <w:jc w:val="both"/>
        <w:rPr>
          <w:b/>
          <w:color w:val="000000"/>
        </w:rPr>
      </w:pPr>
    </w:p>
    <w:p w:rsidR="001C74E4" w:rsidRPr="001C74E4" w:rsidRDefault="004803C8" w:rsidP="001C74E4">
      <w:pPr>
        <w:pStyle w:val="Default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I - INFORMAÇÕES SOBRE O FUNCIONAMENTO DO SISTEMA DE CONTROLE INTERNO DA</w:t>
      </w:r>
      <w:r>
        <w:rPr>
          <w:rFonts w:ascii="Times New Roman" w:hAnsi="Times New Roman" w:cs="Times New Roman"/>
          <w:b/>
        </w:rPr>
        <w:t>S</w:t>
      </w:r>
      <w:r w:rsidRPr="001C74E4">
        <w:rPr>
          <w:rFonts w:ascii="Times New Roman" w:hAnsi="Times New Roman" w:cs="Times New Roman"/>
          <w:b/>
        </w:rPr>
        <w:t xml:space="preserve"> UNIDADE</w:t>
      </w:r>
      <w:r>
        <w:rPr>
          <w:rFonts w:ascii="Times New Roman" w:hAnsi="Times New Roman" w:cs="Times New Roman"/>
          <w:b/>
        </w:rPr>
        <w:t>S</w:t>
      </w:r>
      <w:r w:rsidRPr="001C74E4">
        <w:rPr>
          <w:rFonts w:ascii="Times New Roman" w:hAnsi="Times New Roman" w:cs="Times New Roman"/>
          <w:b/>
        </w:rPr>
        <w:t xml:space="preserve"> JURISDICIONADA:</w:t>
      </w:r>
    </w:p>
    <w:p w:rsidR="001C74E4" w:rsidRPr="001C74E4" w:rsidRDefault="001C74E4" w:rsidP="001C74E4">
      <w:pPr>
        <w:pStyle w:val="Default"/>
        <w:jc w:val="both"/>
        <w:rPr>
          <w:rFonts w:ascii="Times New Roman" w:hAnsi="Times New Roman" w:cs="Times New Roman"/>
          <w:b/>
        </w:rPr>
      </w:pPr>
    </w:p>
    <w:p w:rsidR="001C74E4" w:rsidRDefault="001C74E4" w:rsidP="00825CC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Estrutura Orgânica: Organograma do Órgão de Controle Interno</w:t>
      </w:r>
    </w:p>
    <w:p w:rsidR="001C74E4" w:rsidRDefault="00825CCF" w:rsidP="00825CCF">
      <w:pPr>
        <w:spacing w:after="120"/>
        <w:ind w:firstLine="851"/>
        <w:jc w:val="both"/>
      </w:pPr>
      <w:r>
        <w:t>A estrutura orgânica</w:t>
      </w:r>
      <w:r w:rsidR="00205FB6">
        <w:t xml:space="preserve"> administrativa</w:t>
      </w:r>
      <w:r w:rsidR="000D264F">
        <w:t xml:space="preserve"> do Órgão de Controle Interno do Município de Gaspar esta disposta pela Lei Complementar n</w:t>
      </w:r>
      <w:r w:rsidR="000D264F" w:rsidRPr="000D264F">
        <w:t>º 69, de 22 de dezembro de 2015</w:t>
      </w:r>
      <w:r w:rsidR="000D264F">
        <w:t xml:space="preserve">, que </w:t>
      </w:r>
      <w:r w:rsidR="000D264F">
        <w:lastRenderedPageBreak/>
        <w:t>“E</w:t>
      </w:r>
      <w:r w:rsidR="000D264F" w:rsidRPr="000D264F">
        <w:t>stabelece nova estrutur</w:t>
      </w:r>
      <w:r w:rsidR="000D264F">
        <w:t>a administrativa do Poder Executivo Municipal de G</w:t>
      </w:r>
      <w:r w:rsidR="000D264F" w:rsidRPr="000D264F">
        <w:t>aspar, estabelece gratificação de função de confiança e dá outras providências.</w:t>
      </w:r>
      <w:r w:rsidR="000D264F">
        <w:t>”.</w:t>
      </w:r>
    </w:p>
    <w:p w:rsidR="000D264F" w:rsidRDefault="000D264F" w:rsidP="00825CCF">
      <w:pPr>
        <w:spacing w:after="120"/>
        <w:ind w:firstLine="851"/>
        <w:jc w:val="both"/>
      </w:pPr>
      <w:r>
        <w:t xml:space="preserve">A supracitada lei insere no seu Art. 4º o </w:t>
      </w:r>
      <w:r w:rsidR="004A439B" w:rsidRPr="004A439B">
        <w:t xml:space="preserve">órgão central de controle interno do Município </w:t>
      </w:r>
      <w:r>
        <w:t>como órgão diretamente subordinado</w:t>
      </w:r>
      <w:r w:rsidRPr="000D264F">
        <w:t xml:space="preserve"> ao Gabinete do Prefeito e Vice-Prefeito</w:t>
      </w:r>
      <w:r>
        <w:t xml:space="preserve"> e da </w:t>
      </w:r>
      <w:r w:rsidR="004A439B">
        <w:t>ao mesmo</w:t>
      </w:r>
      <w:r w:rsidR="00205FB6">
        <w:t>,</w:t>
      </w:r>
      <w:r>
        <w:t xml:space="preserve"> status de Superintendência de Controle Interno. </w:t>
      </w:r>
      <w:r w:rsidR="004A439B">
        <w:t>Cumpre salientar que o Controle Interno Municipal foi criado pela Lei Complementar nº 21 de 29 de agosto de 2003, e seu regimento interno foi elaborado e disposto no D</w:t>
      </w:r>
      <w:r w:rsidR="004A439B" w:rsidRPr="004A439B">
        <w:t>ecreto nº 1023, de 19 de julho de 2005</w:t>
      </w:r>
      <w:r w:rsidR="004A439B">
        <w:t>.</w:t>
      </w:r>
      <w:r w:rsidR="00205FB6">
        <w:t xml:space="preserve"> </w:t>
      </w:r>
    </w:p>
    <w:p w:rsidR="00205FB6" w:rsidRPr="00825CCF" w:rsidRDefault="00205FB6" w:rsidP="00825CCF">
      <w:pPr>
        <w:spacing w:after="120"/>
        <w:ind w:firstLine="851"/>
        <w:jc w:val="both"/>
      </w:pPr>
      <w:r>
        <w:t>Essas três normas formam a estrutura normativa do Órgão Central de Controle Interno Municipal, das referidas normas é possível depreender a estrutura orgânica de controle interno municipal, cujo aspecto normativo sofreu alterações estruturais, sem que houvesse a evolução normativa, tampouco se estruturou o órgão para atuar de forma autônoma bem como de forma adequada as demandas do Município.</w:t>
      </w:r>
    </w:p>
    <w:p w:rsidR="0024126C" w:rsidRPr="0024126C" w:rsidRDefault="001C74E4" w:rsidP="002412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Estrutura de Pessoal: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8"/>
        <w:gridCol w:w="1945"/>
        <w:gridCol w:w="4928"/>
      </w:tblGrid>
      <w:tr w:rsidR="00A95C25" w:rsidRPr="0024126C" w:rsidTr="00E41EE9">
        <w:trPr>
          <w:trHeight w:val="330"/>
        </w:trPr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C25" w:rsidRPr="0024126C" w:rsidRDefault="0024126C" w:rsidP="0024126C">
            <w:pPr>
              <w:jc w:val="center"/>
              <w:rPr>
                <w:b/>
                <w:bCs/>
                <w:color w:val="000000"/>
              </w:rPr>
            </w:pPr>
            <w:r w:rsidRPr="0024126C">
              <w:rPr>
                <w:b/>
                <w:bCs/>
                <w:color w:val="000000"/>
                <w:sz w:val="22"/>
                <w:szCs w:val="22"/>
              </w:rPr>
              <w:t>SERVIDOR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C25" w:rsidRPr="0024126C" w:rsidRDefault="0024126C" w:rsidP="0024126C">
            <w:pPr>
              <w:jc w:val="center"/>
              <w:rPr>
                <w:b/>
                <w:bCs/>
                <w:color w:val="000000"/>
              </w:rPr>
            </w:pPr>
            <w:r w:rsidRPr="0024126C">
              <w:rPr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C25" w:rsidRPr="0024126C" w:rsidRDefault="0024126C" w:rsidP="0024126C">
            <w:pPr>
              <w:jc w:val="center"/>
              <w:rPr>
                <w:b/>
                <w:bCs/>
                <w:color w:val="000000"/>
              </w:rPr>
            </w:pPr>
            <w:r w:rsidRPr="0024126C">
              <w:rPr>
                <w:b/>
                <w:bCs/>
                <w:color w:val="000000"/>
                <w:sz w:val="22"/>
                <w:szCs w:val="22"/>
              </w:rPr>
              <w:t>ATRIBUIÇÕES NO CONTROLE INTERNO</w:t>
            </w:r>
          </w:p>
        </w:tc>
      </w:tr>
      <w:tr w:rsidR="00A95C25" w:rsidTr="00E41EE9">
        <w:trPr>
          <w:trHeight w:val="494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 w:rsidP="0024126C">
            <w:pPr>
              <w:jc w:val="center"/>
              <w:rPr>
                <w:color w:val="000000"/>
              </w:rPr>
            </w:pPr>
            <w:r w:rsidRPr="0024126C">
              <w:rPr>
                <w:color w:val="000000"/>
                <w:sz w:val="22"/>
                <w:szCs w:val="22"/>
              </w:rPr>
              <w:t>Jean Carlos de</w:t>
            </w:r>
            <w:r w:rsidR="0024126C">
              <w:rPr>
                <w:color w:val="000000"/>
                <w:sz w:val="22"/>
                <w:szCs w:val="22"/>
              </w:rPr>
              <w:t xml:space="preserve"> </w:t>
            </w:r>
            <w:r w:rsidRPr="0024126C">
              <w:rPr>
                <w:color w:val="000000"/>
                <w:sz w:val="22"/>
                <w:szCs w:val="22"/>
              </w:rPr>
              <w:t>Oliveira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>
            <w:pPr>
              <w:jc w:val="center"/>
              <w:rPr>
                <w:color w:val="000000"/>
              </w:rPr>
            </w:pPr>
            <w:r w:rsidRPr="0024126C">
              <w:rPr>
                <w:color w:val="000000"/>
                <w:sz w:val="22"/>
                <w:szCs w:val="22"/>
              </w:rPr>
              <w:t>Superintendente de Controle Interno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25" w:rsidRPr="00A95C25" w:rsidRDefault="00A95C25" w:rsidP="00A95C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Atribuições fixadas pela Lei Complementar nº 69/2015</w:t>
            </w:r>
            <w:r>
              <w:rPr>
                <w:color w:val="000000"/>
                <w:sz w:val="18"/>
                <w:szCs w:val="18"/>
              </w:rPr>
              <w:br/>
              <w:t>I - instruir seus subordinados de modo que se conscientizem da responsabilidade que possuem;</w:t>
            </w:r>
            <w:r>
              <w:rPr>
                <w:color w:val="000000"/>
                <w:sz w:val="18"/>
                <w:szCs w:val="18"/>
              </w:rPr>
              <w:br/>
              <w:t>II - elaborar e revisar, junto com os respectivos responsáveis pelos setores, o manual de controle interno de cada atividade do Município;</w:t>
            </w:r>
            <w:r>
              <w:rPr>
                <w:color w:val="000000"/>
                <w:sz w:val="18"/>
                <w:szCs w:val="18"/>
              </w:rPr>
              <w:br/>
              <w:t>III - estabelecer os itens de fiscalização que cada setor deve exigir no fluxo da realização das tarefas;</w:t>
            </w:r>
            <w:r>
              <w:rPr>
                <w:color w:val="000000"/>
                <w:sz w:val="18"/>
                <w:szCs w:val="18"/>
              </w:rPr>
              <w:br/>
              <w:t>IV - fiscalizar o cumprimento do manual de controles internos;</w:t>
            </w:r>
            <w:r>
              <w:rPr>
                <w:color w:val="000000"/>
                <w:sz w:val="18"/>
                <w:szCs w:val="18"/>
              </w:rPr>
              <w:br/>
              <w:t>V - comunicar aos servidores as irregularidades verificadas para que estes apresentem justificativas;</w:t>
            </w:r>
            <w:r>
              <w:rPr>
                <w:color w:val="000000"/>
                <w:sz w:val="18"/>
                <w:szCs w:val="18"/>
              </w:rPr>
              <w:br/>
              <w:t>VI - cientificar o Prefeito sobre as irregularidades encontradas periodicamente;</w:t>
            </w:r>
            <w:r>
              <w:rPr>
                <w:color w:val="000000"/>
                <w:sz w:val="18"/>
                <w:szCs w:val="18"/>
              </w:rPr>
              <w:br/>
              <w:t>VII - guardar a documentação de seu trabalho em ordem e à disposição quando em auditoria ou solicitação;</w:t>
            </w:r>
            <w:r>
              <w:rPr>
                <w:color w:val="000000"/>
                <w:sz w:val="18"/>
                <w:szCs w:val="18"/>
              </w:rPr>
              <w:br/>
              <w:t>VIII - determinar, quando necessário, a realização de inspeção ou auditoria sobre a gestão dos recursos públicos municipais sob a responsabilidade de órgãos e entidades públicos e privados que guardem, gerenciem ou administrem recursos ou bens municipais;</w:t>
            </w:r>
            <w:r>
              <w:rPr>
                <w:color w:val="000000"/>
                <w:sz w:val="18"/>
                <w:szCs w:val="18"/>
              </w:rPr>
              <w:br/>
              <w:t>IX - regulamentar as atividades de controle através de Instruções Normativas, inclusive quanto às denúncias encaminhadas pelos cidadãos, partidos políticos, organização, associação ou sindicato sobre irregularidades ou ilegalidades na Administração Municipal;</w:t>
            </w:r>
            <w:r>
              <w:rPr>
                <w:color w:val="000000"/>
                <w:sz w:val="18"/>
                <w:szCs w:val="18"/>
              </w:rPr>
              <w:br/>
              <w:t>X - concentrar as consultas a serem formuladas pelos diversos subsistemas de controle do Município;</w:t>
            </w:r>
            <w:r>
              <w:rPr>
                <w:color w:val="000000"/>
                <w:sz w:val="18"/>
                <w:szCs w:val="18"/>
              </w:rPr>
              <w:br/>
              <w:t>XI - verificar e assinar o Relatório de Gestão Fiscal do Chefe do Poder;</w:t>
            </w:r>
            <w:r>
              <w:rPr>
                <w:color w:val="000000"/>
                <w:sz w:val="18"/>
                <w:szCs w:val="18"/>
              </w:rPr>
              <w:br/>
              <w:t>XII - acompanhar o cumprimento de prazos de elaboração e entrega de relatórios e prestações de contas;</w:t>
            </w:r>
            <w:r>
              <w:rPr>
                <w:color w:val="000000"/>
                <w:sz w:val="18"/>
                <w:szCs w:val="18"/>
              </w:rPr>
              <w:br/>
              <w:t>XIII - emitir parecer sobre as contas prestadas ou tomadas por órgãos e entidades relativos a recursos públicos repassados pelo Município;</w:t>
            </w:r>
            <w:r>
              <w:rPr>
                <w:color w:val="000000"/>
                <w:sz w:val="18"/>
                <w:szCs w:val="18"/>
              </w:rPr>
              <w:br/>
              <w:t>XIV - opinar em prestações ou tomada de contas exigidas por força da legislação;</w:t>
            </w:r>
            <w:r>
              <w:rPr>
                <w:color w:val="000000"/>
                <w:sz w:val="18"/>
                <w:szCs w:val="18"/>
              </w:rPr>
              <w:br/>
              <w:t>XV - verificar os atos administrativos quanto à legalidade, impessoalidade, moralidade, publicidade e eficiência;</w:t>
            </w:r>
            <w:r>
              <w:rPr>
                <w:color w:val="000000"/>
                <w:sz w:val="18"/>
                <w:szCs w:val="18"/>
              </w:rPr>
              <w:br/>
              <w:t>XVI - auxiliar tecnicamente os demais servidores da administração;</w:t>
            </w:r>
            <w:r>
              <w:rPr>
                <w:color w:val="000000"/>
                <w:sz w:val="18"/>
                <w:szCs w:val="18"/>
              </w:rPr>
              <w:br/>
              <w:t xml:space="preserve">XVII - emitir comunicados; fiscalizar o limite de despesa total </w:t>
            </w:r>
            <w:proofErr w:type="gramStart"/>
            <w:r>
              <w:rPr>
                <w:color w:val="000000"/>
                <w:sz w:val="18"/>
                <w:szCs w:val="18"/>
              </w:rPr>
              <w:t>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com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pessoal dos Poderes; - realizar o acompanhamento da realização do plano plurianual, lei de diretrizes Orçamentárias e lei orçamentária anual;</w:t>
            </w:r>
            <w:r>
              <w:rPr>
                <w:color w:val="000000"/>
                <w:sz w:val="18"/>
                <w:szCs w:val="18"/>
              </w:rPr>
              <w:br/>
              <w:t>XVIII - acompanhar e fiscalizar a execução da programação financeira e do cronograma de desembolso, inclusive quanto à realização das metas fiscais;</w:t>
            </w:r>
            <w:r>
              <w:rPr>
                <w:color w:val="000000"/>
                <w:sz w:val="18"/>
                <w:szCs w:val="18"/>
              </w:rPr>
              <w:br/>
              <w:t>XIX - acompanhar e fiscalizar o cumprimento das metas financeiras e físicas dos programas de governo, elaborando relatório sobre o seu cumprimento e sobre os custos de execução; realizar o controle dos limites e das condições para a inscrição de despesas em restos a pagar;</w:t>
            </w:r>
            <w:r>
              <w:rPr>
                <w:color w:val="000000"/>
                <w:sz w:val="18"/>
                <w:szCs w:val="18"/>
              </w:rPr>
              <w:br/>
              <w:t>XX - fiscalizar a aplicação e cômputo das despesas relativas à manutenção e desenvolvimento do ensino e às ações e serviços públicos de saúde;</w:t>
            </w:r>
            <w:r>
              <w:rPr>
                <w:color w:val="000000"/>
                <w:sz w:val="18"/>
                <w:szCs w:val="18"/>
              </w:rPr>
              <w:br/>
              <w:t>XXI - fiscalizar a realização de operações de créditos e os limites de endividamento e tarefas afins atinentes à manutenção do sistema de controle interno;</w:t>
            </w:r>
            <w:r>
              <w:rPr>
                <w:color w:val="000000"/>
                <w:sz w:val="18"/>
                <w:szCs w:val="18"/>
              </w:rPr>
              <w:br/>
              <w:t>XXII - atender o público interno e externo;</w:t>
            </w:r>
            <w:r>
              <w:rPr>
                <w:color w:val="000000"/>
                <w:sz w:val="18"/>
                <w:szCs w:val="18"/>
              </w:rPr>
              <w:br/>
              <w:t>XXIII - solicitar a compra de materiais e equipamentos;</w:t>
            </w:r>
            <w:r>
              <w:rPr>
                <w:color w:val="000000"/>
                <w:sz w:val="18"/>
                <w:szCs w:val="18"/>
              </w:rPr>
              <w:br/>
              <w:t>XXIV - realizar audiências públicas de avaliação das metas fiscais conforme disposto no art. 9º, § 4º da Lei Complementar nº. 101, de 04 de maio de 2000.</w:t>
            </w:r>
            <w:r>
              <w:rPr>
                <w:color w:val="000000"/>
                <w:sz w:val="18"/>
                <w:szCs w:val="18"/>
              </w:rPr>
              <w:br/>
              <w:t>XXV - realizar outras tarefas afins</w:t>
            </w:r>
            <w:r w:rsidR="0024126C">
              <w:rPr>
                <w:color w:val="000000"/>
                <w:sz w:val="18"/>
                <w:szCs w:val="18"/>
              </w:rPr>
              <w:t>.</w:t>
            </w:r>
          </w:p>
        </w:tc>
      </w:tr>
      <w:tr w:rsidR="00A95C25" w:rsidTr="00E41EE9">
        <w:trPr>
          <w:trHeight w:val="330"/>
        </w:trPr>
        <w:tc>
          <w:tcPr>
            <w:tcW w:w="12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>
            <w:pPr>
              <w:jc w:val="center"/>
              <w:rPr>
                <w:color w:val="000000"/>
              </w:rPr>
            </w:pPr>
            <w:r w:rsidRPr="0024126C">
              <w:rPr>
                <w:color w:val="000000"/>
                <w:sz w:val="22"/>
                <w:szCs w:val="22"/>
              </w:rPr>
              <w:lastRenderedPageBreak/>
              <w:t xml:space="preserve">Luisa </w:t>
            </w:r>
            <w:proofErr w:type="spellStart"/>
            <w:r w:rsidRPr="0024126C">
              <w:rPr>
                <w:color w:val="000000"/>
                <w:sz w:val="22"/>
                <w:szCs w:val="22"/>
              </w:rPr>
              <w:t>Tenfen</w:t>
            </w:r>
            <w:proofErr w:type="spellEnd"/>
            <w:r w:rsidRPr="0024126C">
              <w:rPr>
                <w:color w:val="000000"/>
                <w:sz w:val="22"/>
                <w:szCs w:val="22"/>
              </w:rPr>
              <w:t xml:space="preserve"> Ferreira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>
            <w:pPr>
              <w:jc w:val="center"/>
              <w:rPr>
                <w:color w:val="000000"/>
              </w:rPr>
            </w:pPr>
            <w:r w:rsidRPr="0024126C">
              <w:rPr>
                <w:color w:val="000000"/>
                <w:sz w:val="22"/>
                <w:szCs w:val="22"/>
              </w:rPr>
              <w:t>Encarregada de Controle Interno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 w:rsidP="00A95C25">
            <w:pPr>
              <w:rPr>
                <w:color w:val="000000"/>
                <w:sz w:val="18"/>
                <w:szCs w:val="18"/>
              </w:rPr>
            </w:pPr>
            <w:r w:rsidRPr="0024126C">
              <w:rPr>
                <w:color w:val="000000"/>
                <w:sz w:val="18"/>
                <w:szCs w:val="18"/>
              </w:rPr>
              <w:t>Não há atribuições definidas na legislação vigente.</w:t>
            </w:r>
          </w:p>
        </w:tc>
      </w:tr>
      <w:tr w:rsidR="00A95C25" w:rsidTr="0024126C">
        <w:trPr>
          <w:trHeight w:val="80"/>
        </w:trPr>
        <w:tc>
          <w:tcPr>
            <w:tcW w:w="1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 w:rsidP="00A95C25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 w:rsidP="00A95C25">
            <w:pPr>
              <w:rPr>
                <w:color w:val="000000"/>
              </w:rPr>
            </w:pP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C25" w:rsidRDefault="00A95C25">
            <w:pPr>
              <w:rPr>
                <w:color w:val="000000"/>
              </w:rPr>
            </w:pPr>
          </w:p>
        </w:tc>
      </w:tr>
    </w:tbl>
    <w:p w:rsidR="001C74E4" w:rsidRPr="001C74E4" w:rsidRDefault="001C74E4" w:rsidP="001C74E4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1C74E4" w:rsidRDefault="001C74E4" w:rsidP="0024126C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Procedimentos de Controle adotados</w:t>
      </w:r>
    </w:p>
    <w:p w:rsidR="0024126C" w:rsidRPr="00BB3A64" w:rsidRDefault="00BB3A64" w:rsidP="0024126C">
      <w:pPr>
        <w:spacing w:after="120"/>
        <w:ind w:firstLine="851"/>
        <w:jc w:val="both"/>
      </w:pPr>
      <w:r>
        <w:t xml:space="preserve">A atual composição do órgão de Controle Interno do Município não permite atuar de forma a abranger todos os aspectos necessários a um bom funcionamento e controle dos atos da gestão Municipal. Cabe destacar que diante da realidade encontrada, esta Superintendência </w:t>
      </w:r>
      <w:r w:rsidRPr="00BB3A64">
        <w:t>de Controle Interno reúne esforços a pratica de controle sobre alguns pontos considerados críticos principalmente na Administração Direta Municipal, que são:</w:t>
      </w:r>
    </w:p>
    <w:p w:rsidR="00BB3A64" w:rsidRP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B3A64">
        <w:rPr>
          <w:rFonts w:ascii="Times New Roman" w:hAnsi="Times New Roman" w:cs="Times New Roman"/>
        </w:rPr>
        <w:t>Acompanhamento e controle do pagamento e comprovação de diárias;</w:t>
      </w:r>
    </w:p>
    <w:p w:rsidR="00BB3A64" w:rsidRP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B3A64">
        <w:rPr>
          <w:rFonts w:ascii="Times New Roman" w:hAnsi="Times New Roman" w:cs="Times New Roman"/>
        </w:rPr>
        <w:t>Acompanhamento e controle do pagamento e comprovação documental dos contratos de terceirização de mão de obra;</w:t>
      </w:r>
    </w:p>
    <w:p w:rsidR="00BB3A64" w:rsidRP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B3A64">
        <w:rPr>
          <w:rFonts w:ascii="Times New Roman" w:hAnsi="Times New Roman" w:cs="Times New Roman"/>
        </w:rPr>
        <w:t>Acompanhamento e controle do pagamento e das prestações de contas de recursos repassados a titulo de subvenções;</w:t>
      </w:r>
    </w:p>
    <w:p w:rsidR="00BB3A64" w:rsidRP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B3A64">
        <w:rPr>
          <w:rFonts w:ascii="Times New Roman" w:hAnsi="Times New Roman" w:cs="Times New Roman"/>
        </w:rPr>
        <w:t>Fiscalização e acompanhamento das contratações realizadas pelo município se manifestando em cada uma das contratações;</w:t>
      </w:r>
    </w:p>
    <w:p w:rsidR="00BB3A64" w:rsidRP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B3A64">
        <w:rPr>
          <w:rFonts w:ascii="Times New Roman" w:hAnsi="Times New Roman" w:cs="Times New Roman"/>
        </w:rPr>
        <w:t>Ampla divulgação das recomendações e auxilio na interpretação e efetivação de</w:t>
      </w:r>
      <w:proofErr w:type="gramStart"/>
      <w:r w:rsidRPr="00BB3A64">
        <w:rPr>
          <w:rFonts w:ascii="Times New Roman" w:hAnsi="Times New Roman" w:cs="Times New Roman"/>
        </w:rPr>
        <w:t xml:space="preserve">  </w:t>
      </w:r>
      <w:proofErr w:type="gramEnd"/>
      <w:r w:rsidRPr="00BB3A64">
        <w:rPr>
          <w:rFonts w:ascii="Times New Roman" w:hAnsi="Times New Roman" w:cs="Times New Roman"/>
        </w:rPr>
        <w:t>controles das ações dos vários órgãos da Administração, diante das manifestações do Egrégio Tribunal de Contas do Estado;</w:t>
      </w:r>
    </w:p>
    <w:p w:rsid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BB3A64">
        <w:rPr>
          <w:rFonts w:ascii="Times New Roman" w:hAnsi="Times New Roman" w:cs="Times New Roman"/>
        </w:rPr>
        <w:t xml:space="preserve"> Acompanhamento dos índices de gastos de saúde, educação e de gastos com pessoal no Município</w:t>
      </w:r>
      <w:r>
        <w:rPr>
          <w:rFonts w:ascii="Times New Roman" w:hAnsi="Times New Roman" w:cs="Times New Roman"/>
        </w:rPr>
        <w:t>;</w:t>
      </w:r>
    </w:p>
    <w:p w:rsid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Demais atividades de auxilio e efetivação de controles no Município, dentro das possibil</w:t>
      </w:r>
      <w:r w:rsidR="00897B47">
        <w:rPr>
          <w:rFonts w:ascii="Times New Roman" w:hAnsi="Times New Roman" w:cs="Times New Roman"/>
        </w:rPr>
        <w:t>idades e limitações encontradas;</w:t>
      </w:r>
      <w:r>
        <w:rPr>
          <w:rFonts w:ascii="Times New Roman" w:hAnsi="Times New Roman" w:cs="Times New Roman"/>
        </w:rPr>
        <w:t xml:space="preserve"> </w:t>
      </w:r>
    </w:p>
    <w:p w:rsidR="00897B47" w:rsidRPr="00BB3A64" w:rsidRDefault="00897B47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Participação nas comissões e discussões de projetos de lei e procedimentos administrativos de concessão de serviços e licitações de grande repercussão no Município.</w:t>
      </w:r>
    </w:p>
    <w:p w:rsidR="001C74E4" w:rsidRPr="001C74E4" w:rsidRDefault="001C74E4" w:rsidP="00897B4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Forma/meio de comunicação/integração entre as unidades</w:t>
      </w:r>
    </w:p>
    <w:p w:rsidR="001C74E4" w:rsidRPr="001C74E4" w:rsidRDefault="00897B47" w:rsidP="00897B47">
      <w:pPr>
        <w:spacing w:after="120"/>
        <w:ind w:firstLine="851"/>
        <w:jc w:val="both"/>
      </w:pPr>
      <w:r>
        <w:t xml:space="preserve">Há uma única unidade descentralizada de controle interno no Município, que é a unidade de controle interno da Câmara Municipal, com a qual é mantida comunicação constante através de e-mails, contato telefônico e reuniões. Neste aspecto a Superintendência de Controle Interno participa das reuniões do colegiado de Controladores Internos da Associação dos Municípios do Médio Vale do </w:t>
      </w:r>
      <w:proofErr w:type="spellStart"/>
      <w:r>
        <w:t>Itajai</w:t>
      </w:r>
      <w:proofErr w:type="spellEnd"/>
      <w:r>
        <w:t xml:space="preserve"> (AMMVI), bem como tem participado dos eventos disponibilizados pelo Tribunal de Contas a titulo de aprendizado e aperfeiçoamento das tecnologias e inovações trazidas pelo egrégio Tribunal nos últimos anos.</w:t>
      </w:r>
    </w:p>
    <w:p w:rsidR="001C74E4" w:rsidRPr="001C74E4" w:rsidRDefault="001C74E4" w:rsidP="001C74E4">
      <w:pPr>
        <w:pStyle w:val="Default"/>
        <w:jc w:val="both"/>
        <w:rPr>
          <w:rFonts w:ascii="Times New Roman" w:hAnsi="Times New Roman" w:cs="Times New Roman"/>
        </w:rPr>
      </w:pPr>
    </w:p>
    <w:p w:rsidR="001C74E4" w:rsidRPr="001C74E4" w:rsidRDefault="004803C8" w:rsidP="00897B47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 xml:space="preserve">II – RESUMO DAS ATIVIDADES DESENVOLVIDAS PELO OCI E O QUANTITATIVO DAS AUDITORIAS PLANEJADAS E DAS AUDITORIAS REALIZADAS; </w:t>
      </w:r>
    </w:p>
    <w:p w:rsidR="00897B47" w:rsidRDefault="00897B47" w:rsidP="00822A59">
      <w:pPr>
        <w:spacing w:after="120"/>
        <w:ind w:firstLine="851"/>
        <w:jc w:val="both"/>
        <w:rPr>
          <w:b/>
        </w:rPr>
      </w:pPr>
      <w:r>
        <w:t xml:space="preserve">Não é realizado atualmente o planejamento do Órgão Central de Controle Interno no que diz respeito ao planejamento e execução de auditorias. São realizados procedimentos de controle e </w:t>
      </w:r>
      <w:r w:rsidR="00822A59">
        <w:t>verificação de possíveis irregularidades sem que haja procedimento formal de abertura de auditorias.</w:t>
      </w:r>
    </w:p>
    <w:p w:rsidR="001C74E4" w:rsidRPr="001C74E4" w:rsidRDefault="004803C8" w:rsidP="00897B47">
      <w:pPr>
        <w:pStyle w:val="NormalWeb"/>
        <w:jc w:val="both"/>
        <w:rPr>
          <w:b/>
        </w:rPr>
      </w:pPr>
      <w:r w:rsidRPr="001C74E4">
        <w:rPr>
          <w:b/>
        </w:rPr>
        <w:t xml:space="preserve">III – RELAÇÃO DAS IRREGULARIDADES QUE RESULTARAM EM DANO OU PREJUÍZO, INDICANDO OS ATOS DE GESTÃO ILEGAIS, ILEGÍTIMOS OU ANTIECONÔMICOS: </w:t>
      </w:r>
    </w:p>
    <w:p w:rsidR="001C74E4" w:rsidRPr="001C74E4" w:rsidRDefault="001C74E4" w:rsidP="001C74E4">
      <w:pPr>
        <w:pStyle w:val="NormalWeb"/>
        <w:ind w:firstLine="284"/>
        <w:jc w:val="both"/>
        <w:rPr>
          <w:b/>
        </w:rPr>
      </w:pPr>
    </w:p>
    <w:tbl>
      <w:tblPr>
        <w:tblStyle w:val="Tabelacomgrade"/>
        <w:tblW w:w="5324" w:type="pct"/>
        <w:tblInd w:w="-601" w:type="dxa"/>
        <w:tblLook w:val="04A0"/>
      </w:tblPr>
      <w:tblGrid>
        <w:gridCol w:w="1702"/>
        <w:gridCol w:w="2284"/>
        <w:gridCol w:w="1454"/>
        <w:gridCol w:w="1897"/>
        <w:gridCol w:w="908"/>
        <w:gridCol w:w="1644"/>
      </w:tblGrid>
      <w:tr w:rsidR="00822A59" w:rsidRPr="00822A59" w:rsidTr="0054317C">
        <w:tc>
          <w:tcPr>
            <w:tcW w:w="861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Relatório de Auditoria nº</w:t>
            </w: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Ato apontado e falha mantida (após os esclarecimentos do gestor)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Valor do débito sujeito à glosa</w:t>
            </w:r>
          </w:p>
        </w:tc>
        <w:tc>
          <w:tcPr>
            <w:tcW w:w="959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Medidas adotadas pelo Controle interno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Medidas adotadas pelo Gestor</w:t>
            </w:r>
          </w:p>
        </w:tc>
        <w:tc>
          <w:tcPr>
            <w:tcW w:w="831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Identificação do gestor e período do mandato</w:t>
            </w:r>
          </w:p>
        </w:tc>
      </w:tr>
      <w:tr w:rsidR="00822A59" w:rsidRPr="00822A59" w:rsidTr="00822A59">
        <w:tc>
          <w:tcPr>
            <w:tcW w:w="861" w:type="pct"/>
            <w:vAlign w:val="center"/>
          </w:tcPr>
          <w:p w:rsidR="001C74E4" w:rsidRPr="00822A59" w:rsidRDefault="00822A59" w:rsidP="00822A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sz w:val="18"/>
                <w:szCs w:val="18"/>
              </w:rPr>
              <w:t>Memorando nº 128</w:t>
            </w:r>
          </w:p>
        </w:tc>
        <w:tc>
          <w:tcPr>
            <w:tcW w:w="1155" w:type="pct"/>
            <w:vAlign w:val="center"/>
          </w:tcPr>
          <w:p w:rsidR="001C74E4" w:rsidRPr="00822A59" w:rsidRDefault="00822A59" w:rsidP="0054317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sz w:val="18"/>
                <w:szCs w:val="18"/>
              </w:rPr>
              <w:t>Irregularidades na execução e fiscalização do Contrato SAF 44/2012</w:t>
            </w:r>
            <w:r w:rsidR="0054317C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54317C" w:rsidRPr="0054317C">
              <w:rPr>
                <w:rFonts w:ascii="Times New Roman" w:hAnsi="Times New Roman" w:cs="Times New Roman"/>
                <w:sz w:val="18"/>
                <w:szCs w:val="18"/>
              </w:rPr>
              <w:t>cujo objeto é a execução das obras de infrae</w:t>
            </w:r>
            <w:r w:rsidR="0054317C">
              <w:rPr>
                <w:rFonts w:ascii="Times New Roman" w:hAnsi="Times New Roman" w:cs="Times New Roman"/>
                <w:sz w:val="18"/>
                <w:szCs w:val="18"/>
              </w:rPr>
              <w:t>strutura do contorno viário de Gaspar/SC</w:t>
            </w:r>
            <w:r w:rsidR="0054317C" w:rsidRPr="0054317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54317C">
              <w:rPr>
                <w:rFonts w:ascii="Times New Roman" w:hAnsi="Times New Roman" w:cs="Times New Roman"/>
                <w:sz w:val="18"/>
                <w:szCs w:val="18"/>
              </w:rPr>
              <w:t>Ponte do V</w:t>
            </w:r>
            <w:r w:rsidR="0054317C" w:rsidRPr="0054317C">
              <w:rPr>
                <w:rFonts w:ascii="Times New Roman" w:hAnsi="Times New Roman" w:cs="Times New Roman"/>
                <w:sz w:val="18"/>
                <w:szCs w:val="18"/>
              </w:rPr>
              <w:t>ale e acessos</w:t>
            </w:r>
            <w:r w:rsidR="0054317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5" w:type="pct"/>
            <w:vAlign w:val="center"/>
          </w:tcPr>
          <w:p w:rsidR="001C74E4" w:rsidRPr="00822A59" w:rsidRDefault="00822A59" w:rsidP="00822A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sz w:val="18"/>
                <w:szCs w:val="18"/>
              </w:rPr>
              <w:t>R$ 1.521.398,67</w:t>
            </w:r>
          </w:p>
        </w:tc>
        <w:tc>
          <w:tcPr>
            <w:tcW w:w="959" w:type="pct"/>
            <w:vAlign w:val="center"/>
          </w:tcPr>
          <w:p w:rsidR="001C74E4" w:rsidRPr="00822A59" w:rsidRDefault="00822A59" w:rsidP="00822A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Encaminhamento para o Tribunal de Contas do Estado de Santa Catarina para analise e verificação - </w:t>
            </w:r>
            <w:r w:rsidRPr="00822A59">
              <w:rPr>
                <w:rFonts w:ascii="Times New Roman" w:hAnsi="Times New Roman" w:cs="Times New Roman"/>
                <w:sz w:val="18"/>
                <w:szCs w:val="18"/>
              </w:rPr>
              <w:t>REP 1700036715</w:t>
            </w:r>
          </w:p>
        </w:tc>
        <w:tc>
          <w:tcPr>
            <w:tcW w:w="459" w:type="pct"/>
            <w:vAlign w:val="center"/>
          </w:tcPr>
          <w:p w:rsidR="001C74E4" w:rsidRPr="00822A59" w:rsidRDefault="00822A59" w:rsidP="00822A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Não foram adotadas medidas pelo gestor.</w:t>
            </w:r>
          </w:p>
        </w:tc>
        <w:tc>
          <w:tcPr>
            <w:tcW w:w="831" w:type="pct"/>
            <w:vAlign w:val="center"/>
          </w:tcPr>
          <w:p w:rsidR="001C74E4" w:rsidRPr="00822A59" w:rsidRDefault="00822A59" w:rsidP="00822A59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Pedro Celso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Zuchi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Mandato 2013 a 2016</w:t>
            </w:r>
          </w:p>
        </w:tc>
      </w:tr>
    </w:tbl>
    <w:p w:rsidR="001C74E4" w:rsidRPr="001C74E4" w:rsidRDefault="001C74E4" w:rsidP="001C74E4">
      <w:pPr>
        <w:pStyle w:val="Default"/>
        <w:jc w:val="both"/>
        <w:rPr>
          <w:rFonts w:ascii="Times New Roman" w:hAnsi="Times New Roman" w:cs="Times New Roman"/>
          <w:b/>
        </w:rPr>
      </w:pPr>
    </w:p>
    <w:p w:rsidR="001C74E4" w:rsidRPr="001C74E4" w:rsidRDefault="004803C8" w:rsidP="004803C8">
      <w:pPr>
        <w:pStyle w:val="NormalWeb"/>
        <w:jc w:val="both"/>
        <w:rPr>
          <w:b/>
        </w:rPr>
      </w:pPr>
      <w:r w:rsidRPr="001C74E4">
        <w:rPr>
          <w:b/>
          <w:shd w:val="clear" w:color="auto" w:fill="FFFFFF"/>
        </w:rPr>
        <w:t>IV -</w:t>
      </w:r>
      <w:r w:rsidRPr="001C74E4">
        <w:rPr>
          <w:b/>
        </w:rPr>
        <w:t xml:space="preserve"> QUANTITATIVO DE TOMADAS DE CONTAS ESPECIAIS INSTAURADAS E OS RESPECTIVOS RESULTADOS, COM INDICAÇÃO DE NÚMEROS, CAUSAS, DATAS DE INSTAURAÇÃO, COMUNICAÇÃO E ENCAMINHAMENTO AO TRIBUNAL DE CONTAS:</w:t>
      </w:r>
    </w:p>
    <w:p w:rsidR="001C74E4" w:rsidRPr="001C74E4" w:rsidRDefault="001C74E4" w:rsidP="001C74E4">
      <w:pPr>
        <w:pStyle w:val="NormalWeb"/>
        <w:ind w:firstLine="284"/>
        <w:jc w:val="both"/>
        <w:rPr>
          <w:b/>
        </w:rPr>
      </w:pPr>
    </w:p>
    <w:tbl>
      <w:tblPr>
        <w:tblStyle w:val="Tabelacomgrade"/>
        <w:tblW w:w="5355" w:type="pct"/>
        <w:tblInd w:w="-601" w:type="dxa"/>
        <w:tblLook w:val="04A0"/>
      </w:tblPr>
      <w:tblGrid>
        <w:gridCol w:w="928"/>
        <w:gridCol w:w="2094"/>
        <w:gridCol w:w="1216"/>
        <w:gridCol w:w="1594"/>
        <w:gridCol w:w="1483"/>
        <w:gridCol w:w="1305"/>
        <w:gridCol w:w="1327"/>
      </w:tblGrid>
      <w:tr w:rsidR="0054317C" w:rsidRPr="0054317C" w:rsidTr="0054317C">
        <w:tc>
          <w:tcPr>
            <w:tcW w:w="466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Tomada de Contas Especial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Objeto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Ato de instauração e dada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Gestor/Servidor identificado</w:t>
            </w:r>
          </w:p>
        </w:tc>
        <w:tc>
          <w:tcPr>
            <w:tcW w:w="745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Medidas adotadas pela Administração</w:t>
            </w:r>
          </w:p>
        </w:tc>
        <w:tc>
          <w:tcPr>
            <w:tcW w:w="656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Medidas adotadas pelo Gestor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Resultados</w:t>
            </w:r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54317C">
              <w:rPr>
                <w:rFonts w:ascii="Times New Roman" w:hAnsi="Times New Roman" w:cs="Times New Roman"/>
                <w:b/>
                <w:sz w:val="20"/>
                <w:szCs w:val="20"/>
              </w:rPr>
              <w:t>EX: comunicação ao TCESC, MP...)</w:t>
            </w:r>
          </w:p>
        </w:tc>
      </w:tr>
      <w:tr w:rsidR="0054317C" w:rsidRPr="0054317C" w:rsidTr="0054317C">
        <w:tc>
          <w:tcPr>
            <w:tcW w:w="466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317C">
              <w:rPr>
                <w:rFonts w:ascii="Times New Roman" w:hAnsi="Times New Roman" w:cs="Times New Roman"/>
                <w:sz w:val="20"/>
                <w:szCs w:val="20"/>
              </w:rPr>
              <w:t xml:space="preserve">POSSÍVEIS IRREGULARIDADES </w:t>
            </w:r>
            <w:r w:rsidRPr="005431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APONTADAS NO INQUÉRITO ADMINISTRATIVO Nº 02/2012</w:t>
            </w:r>
          </w:p>
        </w:tc>
        <w:tc>
          <w:tcPr>
            <w:tcW w:w="611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Portaria nº 4010</w:t>
            </w:r>
          </w:p>
        </w:tc>
        <w:tc>
          <w:tcPr>
            <w:tcW w:w="801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Não houve o encerramento 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Tomada de Contas até o término do Relatório.</w:t>
            </w:r>
          </w:p>
        </w:tc>
        <w:tc>
          <w:tcPr>
            <w:tcW w:w="745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Não houve o encerramento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 Tomada de Contas até o término do Relatório.</w:t>
            </w:r>
          </w:p>
        </w:tc>
        <w:tc>
          <w:tcPr>
            <w:tcW w:w="656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Não houve o encerramento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 Tomada de Contas até o término do Relatório.</w:t>
            </w:r>
          </w:p>
        </w:tc>
        <w:tc>
          <w:tcPr>
            <w:tcW w:w="667" w:type="pct"/>
          </w:tcPr>
          <w:p w:rsidR="0054317C" w:rsidRPr="0054317C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Não houve o encerramento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 Tomada de Contas até o término do Relatório.</w:t>
            </w:r>
          </w:p>
        </w:tc>
      </w:tr>
    </w:tbl>
    <w:p w:rsidR="004803C8" w:rsidRDefault="004803C8" w:rsidP="008B7EA6">
      <w:pPr>
        <w:jc w:val="both"/>
        <w:rPr>
          <w:b/>
          <w:color w:val="000000"/>
        </w:rPr>
      </w:pPr>
    </w:p>
    <w:p w:rsidR="008B7EA6" w:rsidRPr="001C74E4" w:rsidRDefault="004803C8" w:rsidP="008B7EA6">
      <w:pPr>
        <w:jc w:val="both"/>
        <w:rPr>
          <w:b/>
          <w:color w:val="000000"/>
        </w:rPr>
      </w:pPr>
      <w:r w:rsidRPr="001C74E4">
        <w:rPr>
          <w:b/>
          <w:color w:val="000000"/>
        </w:rPr>
        <w:t>XII - OUTRAS ANÁLISES DECORRENTES DO DISPOSTO NOS ARTIGOS 20 A 23 DESTA INSTRUÇÃO NORMATIVA.</w:t>
      </w:r>
    </w:p>
    <w:p w:rsidR="004803C8" w:rsidRDefault="004803C8" w:rsidP="004803C8">
      <w:pPr>
        <w:spacing w:before="120" w:after="120"/>
        <w:ind w:firstLine="851"/>
        <w:jc w:val="both"/>
      </w:pPr>
      <w:r>
        <w:t>Das analises que esta Superintendência de Controle Interno tem a realizar, cumpre destacar o atual desempenho deste órgão central de controle interno, como especificado não há descentralização do controle interno, atuando nas varias unidades de prestação de serviços do Município. Esta situação torna deficiente a aplicação e gestão do controle interno no Município.</w:t>
      </w:r>
    </w:p>
    <w:p w:rsidR="004803C8" w:rsidRDefault="004803C8" w:rsidP="004803C8">
      <w:pPr>
        <w:spacing w:before="120" w:after="120"/>
        <w:ind w:firstLine="851"/>
        <w:jc w:val="both"/>
      </w:pPr>
      <w:r>
        <w:t xml:space="preserve">Há apenas dois servidos responsáveis pela organização, gerenciamento e aplicação dos vários processos de controle que seriam necessários para o aprimoramento do controle no Município, tornando quase que impossível </w:t>
      </w:r>
      <w:proofErr w:type="gramStart"/>
      <w:r>
        <w:t>a</w:t>
      </w:r>
      <w:proofErr w:type="gramEnd"/>
      <w:r>
        <w:t xml:space="preserve"> aplicação de um controle interno eficiente em todos os órgãos e processos do Município. Diante deste fato, as forças deste Controle Interno têm sido direcionadas a atuação junto ao Departamento de Compras e Licitações, ao Departamento de Recursos Humanos e há Contabilidade do Município.</w:t>
      </w:r>
    </w:p>
    <w:p w:rsidR="000C1FBE" w:rsidRDefault="004803C8" w:rsidP="004803C8">
      <w:pPr>
        <w:spacing w:before="120" w:after="120"/>
        <w:ind w:firstLine="851"/>
        <w:jc w:val="both"/>
      </w:pPr>
      <w:r>
        <w:t>Este direcionamento de esforços para estabelecer um grau mais efetivo de controle nestes três setores justifica-se pelo fato de estes serem os</w:t>
      </w:r>
      <w:r w:rsidR="000C1FBE">
        <w:t xml:space="preserve"> principais</w:t>
      </w:r>
      <w:r>
        <w:t xml:space="preserve"> responsáveis pela aplicação e</w:t>
      </w:r>
      <w:r w:rsidR="000C1FBE">
        <w:t xml:space="preserve"> </w:t>
      </w:r>
      <w:r>
        <w:t>gestão financeira do</w:t>
      </w:r>
      <w:r w:rsidR="000C1FBE">
        <w:t>s recursos no município, sendo essencial tal pratica a fim de dar maior lisura e transparência aos dispêndios de recursos municipais.</w:t>
      </w:r>
    </w:p>
    <w:p w:rsidR="000C1FBE" w:rsidRDefault="000C1FBE" w:rsidP="004803C8">
      <w:pPr>
        <w:spacing w:before="120" w:after="120"/>
        <w:ind w:firstLine="851"/>
        <w:jc w:val="both"/>
      </w:pPr>
      <w:r>
        <w:t>Os principais eixos trabalhados por este Controle interno nestes departamentos tem sido:</w:t>
      </w:r>
    </w:p>
    <w:p w:rsidR="004803C8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1FBE">
        <w:rPr>
          <w:rFonts w:ascii="Times New Roman" w:hAnsi="Times New Roman" w:cs="Times New Roman"/>
          <w:sz w:val="24"/>
          <w:szCs w:val="24"/>
        </w:rPr>
        <w:t>Acompanhamento e participação nos processos licitatórios de grande aporte financeiro;</w:t>
      </w:r>
    </w:p>
    <w:p w:rsid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Reestruturação dos processos de compras e licitações;</w:t>
      </w:r>
    </w:p>
    <w:p w:rsid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Elaboração e auxilio na criação de decretos e regulamentações para criação de processos e fluxos internos;</w:t>
      </w:r>
    </w:p>
    <w:p w:rsidR="000C1FBE" w:rsidRP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1FBE">
        <w:rPr>
          <w:rFonts w:ascii="Times New Roman" w:hAnsi="Times New Roman" w:cs="Times New Roman"/>
          <w:sz w:val="24"/>
          <w:szCs w:val="24"/>
        </w:rPr>
        <w:t>Controle e acompanhamento dos gastos com pessoal, e contratação realizados pelo município;</w:t>
      </w:r>
    </w:p>
    <w:p w:rsid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Acompanhamento dos registros contábeis;</w:t>
      </w:r>
    </w:p>
    <w:p w:rsid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outras tarefas de auxilio e gestão aos órgãos da administração municipal.</w:t>
      </w:r>
    </w:p>
    <w:p w:rsidR="000C1FBE" w:rsidRDefault="000C1FBE" w:rsidP="000C1FBE">
      <w:pPr>
        <w:spacing w:before="120" w:after="120"/>
        <w:ind w:firstLine="851"/>
        <w:jc w:val="both"/>
      </w:pPr>
      <w:r>
        <w:t>Cumpre salientar que os trabalhos desenvolvidos são de auxilio e de aporte a gestão, e muitas das vezes dependem da efetivação por parte dos órgãos bem como conscientização da</w:t>
      </w:r>
      <w:r w:rsidR="005A1541">
        <w:t xml:space="preserve"> própria gestão.</w:t>
      </w:r>
    </w:p>
    <w:p w:rsidR="005A1541" w:rsidRDefault="005A1541" w:rsidP="000C1FBE">
      <w:pPr>
        <w:spacing w:before="120" w:after="120"/>
        <w:ind w:firstLine="851"/>
        <w:jc w:val="both"/>
      </w:pPr>
      <w:r>
        <w:t>Muitos são os desafios para efetivação de um controle interno eficiente e que estabeleça os procedimentos bem como fortaleça a capacidade de respostas rápidas aos anseios da sociedade, neste aspecto tem se trabalhado no sentido de reestabelecer uma nova estrutura ao controle interno do Município de Gaspar, tornando-o mais efetivo e aumentando sua área de atuação.</w:t>
      </w:r>
    </w:p>
    <w:p w:rsidR="005A1541" w:rsidRDefault="005A1541" w:rsidP="000C1FBE">
      <w:pPr>
        <w:spacing w:before="120" w:after="120"/>
        <w:ind w:firstLine="851"/>
        <w:jc w:val="both"/>
      </w:pPr>
      <w:r>
        <w:lastRenderedPageBreak/>
        <w:t>Isto será possível com a aprovação da proposta de Lei que esta sendo discutida junto a atual administração, e trará em sua concepção varias nuances que tornarão o Sistema de Controle Interno do Município mais efetivo, atuando no controle e prevenção dos riscos e falhas administrativas, com maior eficiência e estrutura. Permitindo também uma atuação e resposta com maior agilidade aos controles externos, principalmente os advindos da sociedade.</w:t>
      </w:r>
    </w:p>
    <w:p w:rsidR="00343DC5" w:rsidRPr="001C74E4" w:rsidRDefault="005A1541" w:rsidP="005A1541">
      <w:pPr>
        <w:spacing w:before="120" w:after="120"/>
        <w:jc w:val="both"/>
      </w:pPr>
      <w:r>
        <w:t xml:space="preserve"> </w:t>
      </w:r>
      <w:r>
        <w:tab/>
      </w:r>
      <w:r>
        <w:tab/>
      </w:r>
      <w:r w:rsidR="00343DC5" w:rsidRPr="001C74E4">
        <w:t>Respeitosamente,</w:t>
      </w:r>
    </w:p>
    <w:p w:rsidR="00343DC5" w:rsidRDefault="00343DC5" w:rsidP="00343DC5">
      <w:pPr>
        <w:spacing w:after="120"/>
        <w:jc w:val="center"/>
      </w:pPr>
    </w:p>
    <w:p w:rsidR="008E5104" w:rsidRDefault="008E5104" w:rsidP="00343DC5">
      <w:pPr>
        <w:spacing w:after="120"/>
        <w:jc w:val="center"/>
      </w:pPr>
    </w:p>
    <w:p w:rsidR="008E5104" w:rsidRPr="001C74E4" w:rsidRDefault="008E5104" w:rsidP="00343DC5">
      <w:pPr>
        <w:spacing w:after="120"/>
        <w:jc w:val="center"/>
      </w:pPr>
    </w:p>
    <w:p w:rsidR="00343DC5" w:rsidRPr="001C74E4" w:rsidRDefault="00343DC5" w:rsidP="00343DC5">
      <w:pPr>
        <w:jc w:val="center"/>
        <w:rPr>
          <w:b/>
        </w:rPr>
      </w:pPr>
      <w:r w:rsidRPr="001C74E4">
        <w:rPr>
          <w:b/>
        </w:rPr>
        <w:t>JEAN CARLOS DE OLIVEIRA</w:t>
      </w:r>
    </w:p>
    <w:p w:rsidR="00343DC5" w:rsidRPr="008E5104" w:rsidRDefault="00343DC5" w:rsidP="00343DC5">
      <w:pPr>
        <w:jc w:val="center"/>
        <w:rPr>
          <w:sz w:val="20"/>
          <w:szCs w:val="20"/>
        </w:rPr>
      </w:pPr>
      <w:r w:rsidRPr="008E5104">
        <w:rPr>
          <w:sz w:val="20"/>
          <w:szCs w:val="20"/>
        </w:rPr>
        <w:t>Superintendente de Controle Interno</w:t>
      </w:r>
    </w:p>
    <w:p w:rsidR="00343DC5" w:rsidRPr="008E5104" w:rsidRDefault="00343DC5" w:rsidP="00343DC5">
      <w:pPr>
        <w:jc w:val="center"/>
        <w:rPr>
          <w:sz w:val="20"/>
          <w:szCs w:val="20"/>
        </w:rPr>
      </w:pPr>
      <w:r w:rsidRPr="008E5104">
        <w:rPr>
          <w:sz w:val="20"/>
          <w:szCs w:val="20"/>
        </w:rPr>
        <w:t>Decreto 6.796 de 05/02/2016</w:t>
      </w:r>
    </w:p>
    <w:p w:rsidR="00343DC5" w:rsidRPr="001C74E4" w:rsidRDefault="00343DC5" w:rsidP="00343DC5">
      <w:pPr>
        <w:jc w:val="center"/>
      </w:pPr>
    </w:p>
    <w:p w:rsidR="00123E14" w:rsidRPr="001C74E4" w:rsidRDefault="00123E14" w:rsidP="00433AF0">
      <w:pPr>
        <w:jc w:val="both"/>
      </w:pPr>
    </w:p>
    <w:sectPr w:rsidR="00123E14" w:rsidRPr="001C74E4" w:rsidSect="007D5A03">
      <w:type w:val="continuous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26" w:rsidRDefault="00031726" w:rsidP="00BB5A2C">
      <w:r>
        <w:separator/>
      </w:r>
    </w:p>
  </w:endnote>
  <w:endnote w:type="continuationSeparator" w:id="0">
    <w:p w:rsidR="00031726" w:rsidRDefault="00031726" w:rsidP="00BB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C8" w:rsidRDefault="004803C8" w:rsidP="007D5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803C8" w:rsidRDefault="004803C8" w:rsidP="007D5A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05681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Content>
          <w:p w:rsidR="004803C8" w:rsidRPr="00821D31" w:rsidRDefault="004803C8">
            <w:pPr>
              <w:pStyle w:val="Rodap"/>
              <w:jc w:val="right"/>
              <w:rPr>
                <w:sz w:val="16"/>
                <w:szCs w:val="16"/>
              </w:rPr>
            </w:pPr>
            <w:r w:rsidRPr="00821D31">
              <w:rPr>
                <w:sz w:val="16"/>
                <w:szCs w:val="16"/>
              </w:rPr>
              <w:t xml:space="preserve">Página </w:t>
            </w:r>
            <w:r w:rsidRPr="00821D31">
              <w:rPr>
                <w:b/>
                <w:sz w:val="16"/>
                <w:szCs w:val="16"/>
              </w:rPr>
              <w:fldChar w:fldCharType="begin"/>
            </w:r>
            <w:r w:rsidRPr="00821D31">
              <w:rPr>
                <w:b/>
                <w:sz w:val="16"/>
                <w:szCs w:val="16"/>
              </w:rPr>
              <w:instrText>PAGE</w:instrText>
            </w:r>
            <w:r w:rsidRPr="00821D31">
              <w:rPr>
                <w:b/>
                <w:sz w:val="16"/>
                <w:szCs w:val="16"/>
              </w:rPr>
              <w:fldChar w:fldCharType="separate"/>
            </w:r>
            <w:r w:rsidR="005A1541">
              <w:rPr>
                <w:b/>
                <w:noProof/>
                <w:sz w:val="16"/>
                <w:szCs w:val="16"/>
              </w:rPr>
              <w:t>1</w:t>
            </w:r>
            <w:r w:rsidRPr="00821D31">
              <w:rPr>
                <w:b/>
                <w:sz w:val="16"/>
                <w:szCs w:val="16"/>
              </w:rPr>
              <w:fldChar w:fldCharType="end"/>
            </w:r>
            <w:r w:rsidRPr="00821D31">
              <w:rPr>
                <w:sz w:val="16"/>
                <w:szCs w:val="16"/>
              </w:rPr>
              <w:t xml:space="preserve"> de </w:t>
            </w:r>
            <w:r w:rsidRPr="00821D31">
              <w:rPr>
                <w:b/>
                <w:sz w:val="16"/>
                <w:szCs w:val="16"/>
              </w:rPr>
              <w:fldChar w:fldCharType="begin"/>
            </w:r>
            <w:r w:rsidRPr="00821D31">
              <w:rPr>
                <w:b/>
                <w:sz w:val="16"/>
                <w:szCs w:val="16"/>
              </w:rPr>
              <w:instrText>NUMPAGES</w:instrText>
            </w:r>
            <w:r w:rsidRPr="00821D31">
              <w:rPr>
                <w:b/>
                <w:sz w:val="16"/>
                <w:szCs w:val="16"/>
              </w:rPr>
              <w:fldChar w:fldCharType="separate"/>
            </w:r>
            <w:r w:rsidR="005A1541">
              <w:rPr>
                <w:b/>
                <w:noProof/>
                <w:sz w:val="16"/>
                <w:szCs w:val="16"/>
              </w:rPr>
              <w:t>6</w:t>
            </w:r>
            <w:r w:rsidRPr="00821D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803C8" w:rsidRPr="00C672B3" w:rsidRDefault="004803C8" w:rsidP="00821D31">
    <w:pPr>
      <w:pStyle w:val="Rodap"/>
      <w:ind w:right="360"/>
      <w:jc w:val="center"/>
      <w:rPr>
        <w:sz w:val="15"/>
        <w:szCs w:val="15"/>
      </w:rPr>
    </w:pPr>
    <w:r w:rsidRPr="00C672B3">
      <w:rPr>
        <w:sz w:val="15"/>
        <w:szCs w:val="15"/>
      </w:rPr>
      <w:t xml:space="preserve">Rua Coronel </w:t>
    </w:r>
    <w:proofErr w:type="spellStart"/>
    <w:r w:rsidRPr="00C672B3">
      <w:rPr>
        <w:sz w:val="15"/>
        <w:szCs w:val="15"/>
      </w:rPr>
      <w:t>Aristiliano</w:t>
    </w:r>
    <w:proofErr w:type="spellEnd"/>
    <w:r w:rsidRPr="00C672B3">
      <w:rPr>
        <w:sz w:val="15"/>
        <w:szCs w:val="15"/>
      </w:rPr>
      <w:t xml:space="preserve"> Ramos, 435 – Praça Getúlio Vargas – Centro – Fone: (47) 3331-6300</w:t>
    </w:r>
    <w:proofErr w:type="gramStart"/>
    <w:r w:rsidRPr="00C672B3">
      <w:rPr>
        <w:sz w:val="15"/>
        <w:szCs w:val="15"/>
      </w:rPr>
      <w:t xml:space="preserve">  </w:t>
    </w:r>
    <w:proofErr w:type="gramEnd"/>
    <w:r w:rsidRPr="00C672B3">
      <w:rPr>
        <w:sz w:val="15"/>
        <w:szCs w:val="15"/>
      </w:rPr>
      <w:t>–</w:t>
    </w:r>
    <w:r>
      <w:rPr>
        <w:sz w:val="15"/>
        <w:szCs w:val="15"/>
      </w:rPr>
      <w:t xml:space="preserve"> </w:t>
    </w:r>
    <w:r w:rsidRPr="00C672B3">
      <w:rPr>
        <w:sz w:val="15"/>
        <w:szCs w:val="15"/>
      </w:rPr>
      <w:t xml:space="preserve"> CEP 89110-</w:t>
    </w:r>
    <w:r>
      <w:rPr>
        <w:sz w:val="15"/>
        <w:szCs w:val="15"/>
      </w:rPr>
      <w:t>9</w:t>
    </w:r>
    <w:r w:rsidRPr="00C672B3">
      <w:rPr>
        <w:sz w:val="15"/>
        <w:szCs w:val="15"/>
      </w:rPr>
      <w:t>00 – Gaspar – SC</w:t>
    </w:r>
  </w:p>
  <w:p w:rsidR="004803C8" w:rsidRPr="00C672B3" w:rsidRDefault="004803C8" w:rsidP="00821D31">
    <w:pPr>
      <w:pStyle w:val="Rodap"/>
      <w:ind w:right="49"/>
      <w:jc w:val="center"/>
      <w:rPr>
        <w:sz w:val="15"/>
        <w:szCs w:val="15"/>
      </w:rPr>
    </w:pPr>
    <w:r w:rsidRPr="00CC2A4D">
      <w:rPr>
        <w:sz w:val="15"/>
        <w:szCs w:val="15"/>
      </w:rPr>
      <w:t>www.gaspar.sc.gov.br</w:t>
    </w:r>
    <w:r w:rsidRPr="00C672B3">
      <w:rPr>
        <w:sz w:val="15"/>
        <w:szCs w:val="15"/>
      </w:rPr>
      <w:t xml:space="preserve">                             CNPJ 83.102.244/0001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26" w:rsidRDefault="00031726" w:rsidP="00BB5A2C">
      <w:r>
        <w:separator/>
      </w:r>
    </w:p>
  </w:footnote>
  <w:footnote w:type="continuationSeparator" w:id="0">
    <w:p w:rsidR="00031726" w:rsidRDefault="00031726" w:rsidP="00BB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C8" w:rsidRDefault="004803C8" w:rsidP="00343DC5">
    <w:pPr>
      <w:pStyle w:val="Cabealho"/>
    </w:pPr>
    <w:r>
      <w:rPr>
        <w:noProof/>
      </w:rPr>
      <w:pict>
        <v:group id="_x0000_s1031" style="position:absolute;margin-left:0;margin-top:.4pt;width:441pt;height:88.25pt;z-index:251660288" coordorigin="1701,716" coordsize="8820,1882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1701;top:716;width:2475;height:1542" filled="f" stroked="f">
            <v:textbox style="mso-next-textbox:#_x0000_s1032">
              <w:txbxContent>
                <w:p w:rsidR="004803C8" w:rsidRDefault="004803C8" w:rsidP="00343DC5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3" o:spid="_x0000_i1025" type="#_x0000_t75" style="width:60.75pt;height:66.75pt;visibility:visible">
                        <v:imagedata r:id="rId1" o:title="gaspar"/>
                      </v:shape>
                    </w:pict>
                  </w:r>
                </w:p>
              </w:txbxContent>
            </v:textbox>
          </v:shape>
          <v:shape id="_x0000_s1033" type="#_x0000_t202" style="position:absolute;left:3861;top:798;width:6660;height:1800" filled="f" stroked="f">
            <v:textbox style="mso-next-textbox:#_x0000_s1033">
              <w:txbxContent>
                <w:p w:rsidR="004803C8" w:rsidRDefault="004803C8" w:rsidP="00343DC5">
                  <w:pPr>
                    <w:ind w:right="15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PREFEITURA DE </w:t>
                  </w:r>
                  <w:r w:rsidRPr="007D5A03">
                    <w:rPr>
                      <w:rFonts w:ascii="Arial" w:hAnsi="Arial" w:cs="Arial"/>
                      <w:b/>
                      <w:sz w:val="28"/>
                      <w:szCs w:val="28"/>
                    </w:rPr>
                    <w:t>GASPAR</w:t>
                  </w:r>
                </w:p>
                <w:p w:rsidR="004803C8" w:rsidRPr="00EC57AC" w:rsidRDefault="004803C8" w:rsidP="00343DC5">
                  <w:pPr>
                    <w:ind w:right="15"/>
                    <w:jc w:val="right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EC57AC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Gabinete do Prefeito</w:t>
                  </w:r>
                </w:p>
                <w:p w:rsidR="004803C8" w:rsidRPr="00EC57AC" w:rsidRDefault="004803C8" w:rsidP="00343DC5">
                  <w:pPr>
                    <w:ind w:right="15"/>
                    <w:jc w:val="right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 xml:space="preserve">Superintendência </w:t>
                  </w:r>
                  <w:r w:rsidRPr="00EC57AC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de Controle Interno</w:t>
                  </w:r>
                </w:p>
              </w:txbxContent>
            </v:textbox>
          </v:shape>
        </v:group>
      </w:pict>
    </w:r>
  </w:p>
  <w:p w:rsidR="004803C8" w:rsidRPr="00343DC5" w:rsidRDefault="004803C8" w:rsidP="00343DC5">
    <w:pPr>
      <w:pStyle w:val="Cabealho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EC5"/>
    <w:multiLevelType w:val="hybridMultilevel"/>
    <w:tmpl w:val="A2BEFC6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13A5768"/>
    <w:multiLevelType w:val="hybridMultilevel"/>
    <w:tmpl w:val="1338C9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40A77B8"/>
    <w:multiLevelType w:val="hybridMultilevel"/>
    <w:tmpl w:val="4F2E0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B5A2C"/>
    <w:rsid w:val="000221CF"/>
    <w:rsid w:val="00031726"/>
    <w:rsid w:val="00081834"/>
    <w:rsid w:val="000C1FBE"/>
    <w:rsid w:val="000D264F"/>
    <w:rsid w:val="000E735D"/>
    <w:rsid w:val="001227FF"/>
    <w:rsid w:val="00123E14"/>
    <w:rsid w:val="0015001F"/>
    <w:rsid w:val="0015209B"/>
    <w:rsid w:val="001A3D5B"/>
    <w:rsid w:val="001C74E4"/>
    <w:rsid w:val="001C7D3E"/>
    <w:rsid w:val="001D2850"/>
    <w:rsid w:val="001E115F"/>
    <w:rsid w:val="001F0F2A"/>
    <w:rsid w:val="001F4D74"/>
    <w:rsid w:val="00205FB6"/>
    <w:rsid w:val="002202AC"/>
    <w:rsid w:val="002400F0"/>
    <w:rsid w:val="0024126C"/>
    <w:rsid w:val="00246D6E"/>
    <w:rsid w:val="002B1BE4"/>
    <w:rsid w:val="002C333B"/>
    <w:rsid w:val="002D0233"/>
    <w:rsid w:val="002E7F33"/>
    <w:rsid w:val="002F0BAC"/>
    <w:rsid w:val="00343DC5"/>
    <w:rsid w:val="003846C1"/>
    <w:rsid w:val="003924ED"/>
    <w:rsid w:val="00396377"/>
    <w:rsid w:val="003B4622"/>
    <w:rsid w:val="004112CA"/>
    <w:rsid w:val="00433AF0"/>
    <w:rsid w:val="004803C8"/>
    <w:rsid w:val="004938FB"/>
    <w:rsid w:val="004A439B"/>
    <w:rsid w:val="004A563E"/>
    <w:rsid w:val="004E44A6"/>
    <w:rsid w:val="0054317C"/>
    <w:rsid w:val="005443B6"/>
    <w:rsid w:val="00567231"/>
    <w:rsid w:val="00571A20"/>
    <w:rsid w:val="0058144D"/>
    <w:rsid w:val="005A1541"/>
    <w:rsid w:val="005B3767"/>
    <w:rsid w:val="005B7120"/>
    <w:rsid w:val="005D1555"/>
    <w:rsid w:val="00612A98"/>
    <w:rsid w:val="006149F9"/>
    <w:rsid w:val="00622575"/>
    <w:rsid w:val="00651ADD"/>
    <w:rsid w:val="0066194E"/>
    <w:rsid w:val="006E6476"/>
    <w:rsid w:val="007B63AE"/>
    <w:rsid w:val="007D5A03"/>
    <w:rsid w:val="007F07B0"/>
    <w:rsid w:val="008123A9"/>
    <w:rsid w:val="00821D31"/>
    <w:rsid w:val="00822A59"/>
    <w:rsid w:val="00825CCF"/>
    <w:rsid w:val="0084681F"/>
    <w:rsid w:val="00862D45"/>
    <w:rsid w:val="00897B47"/>
    <w:rsid w:val="008B7EA6"/>
    <w:rsid w:val="008E5104"/>
    <w:rsid w:val="00922510"/>
    <w:rsid w:val="00922EAE"/>
    <w:rsid w:val="009403D2"/>
    <w:rsid w:val="00954566"/>
    <w:rsid w:val="00980F55"/>
    <w:rsid w:val="00982D21"/>
    <w:rsid w:val="009A1105"/>
    <w:rsid w:val="009B04ED"/>
    <w:rsid w:val="009D10A8"/>
    <w:rsid w:val="009E26F6"/>
    <w:rsid w:val="00A179C7"/>
    <w:rsid w:val="00A271DF"/>
    <w:rsid w:val="00A75231"/>
    <w:rsid w:val="00A915A6"/>
    <w:rsid w:val="00A95C25"/>
    <w:rsid w:val="00AA1799"/>
    <w:rsid w:val="00AB22DD"/>
    <w:rsid w:val="00AE3BD5"/>
    <w:rsid w:val="00BA7A3F"/>
    <w:rsid w:val="00BB3A64"/>
    <w:rsid w:val="00BB5A2C"/>
    <w:rsid w:val="00BD0748"/>
    <w:rsid w:val="00BE6EC5"/>
    <w:rsid w:val="00C07E59"/>
    <w:rsid w:val="00C469D6"/>
    <w:rsid w:val="00C866E6"/>
    <w:rsid w:val="00CA41B4"/>
    <w:rsid w:val="00CC2A4D"/>
    <w:rsid w:val="00CF7975"/>
    <w:rsid w:val="00D046C6"/>
    <w:rsid w:val="00D47FEF"/>
    <w:rsid w:val="00D61BDF"/>
    <w:rsid w:val="00D70770"/>
    <w:rsid w:val="00E01551"/>
    <w:rsid w:val="00E21C92"/>
    <w:rsid w:val="00E41EE9"/>
    <w:rsid w:val="00E47955"/>
    <w:rsid w:val="00E638B1"/>
    <w:rsid w:val="00E670A3"/>
    <w:rsid w:val="00E67D49"/>
    <w:rsid w:val="00E7426A"/>
    <w:rsid w:val="00EC0B95"/>
    <w:rsid w:val="00ED3378"/>
    <w:rsid w:val="00F24AA8"/>
    <w:rsid w:val="00F77831"/>
    <w:rsid w:val="00FE435F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5A2C"/>
    <w:pPr>
      <w:keepNext/>
      <w:ind w:left="374" w:right="-886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BB5A2C"/>
    <w:pPr>
      <w:keepNext/>
      <w:ind w:left="374" w:right="-886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A2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B5A2C"/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5A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B5A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B5A2C"/>
    <w:pPr>
      <w:ind w:left="374" w:right="-886" w:firstLine="1122"/>
    </w:pPr>
    <w:rPr>
      <w:rFonts w:ascii="Arial" w:hAnsi="Arial" w:cs="Arial"/>
      <w:sz w:val="20"/>
    </w:rPr>
  </w:style>
  <w:style w:type="character" w:styleId="Hyperlink">
    <w:name w:val="Hyperlink"/>
    <w:basedOn w:val="Fontepargpadro"/>
    <w:rsid w:val="00BB5A2C"/>
    <w:rPr>
      <w:color w:val="0000FF"/>
      <w:u w:val="single"/>
    </w:rPr>
  </w:style>
  <w:style w:type="character" w:styleId="Nmerodepgina">
    <w:name w:val="page number"/>
    <w:basedOn w:val="Fontepargpadro"/>
    <w:rsid w:val="00BB5A2C"/>
  </w:style>
  <w:style w:type="paragraph" w:styleId="Textodebalo">
    <w:name w:val="Balloon Text"/>
    <w:basedOn w:val="Normal"/>
    <w:link w:val="TextodebaloChar"/>
    <w:uiPriority w:val="99"/>
    <w:semiHidden/>
    <w:unhideWhenUsed/>
    <w:rsid w:val="007F0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7B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A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A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3AF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F0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0B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A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7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C74E4"/>
  </w:style>
  <w:style w:type="paragraph" w:styleId="Recuodecorpodetexto2">
    <w:name w:val="Body Text Indent 2"/>
    <w:basedOn w:val="Normal"/>
    <w:link w:val="Recuodecorpodetexto2Char"/>
    <w:rsid w:val="001C74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C74E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2050</Words>
  <Characters>11075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Cleones Hostins</dc:creator>
  <cp:lastModifiedBy>Jean Carlos</cp:lastModifiedBy>
  <cp:revision>3</cp:revision>
  <cp:lastPrinted>2017-03-29T12:44:00Z</cp:lastPrinted>
  <dcterms:created xsi:type="dcterms:W3CDTF">2017-04-03T12:22:00Z</dcterms:created>
  <dcterms:modified xsi:type="dcterms:W3CDTF">2017-04-03T17:31:00Z</dcterms:modified>
</cp:coreProperties>
</file>