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14" w:rsidRPr="001C74E4" w:rsidRDefault="00CC2A4D" w:rsidP="00433AF0">
      <w:pPr>
        <w:jc w:val="both"/>
        <w:rPr>
          <w:b/>
        </w:rPr>
      </w:pPr>
      <w:r w:rsidRPr="001C74E4">
        <w:rPr>
          <w:b/>
        </w:rPr>
        <w:t xml:space="preserve">OFÍCIO Nº. </w:t>
      </w:r>
      <w:r w:rsidR="006D1BA2">
        <w:rPr>
          <w:b/>
        </w:rPr>
        <w:t>0</w:t>
      </w:r>
      <w:r w:rsidR="00C948B1">
        <w:rPr>
          <w:b/>
        </w:rPr>
        <w:t>03</w:t>
      </w:r>
      <w:r w:rsidRPr="001C74E4">
        <w:rPr>
          <w:b/>
        </w:rPr>
        <w:t>/201</w:t>
      </w:r>
      <w:r w:rsidR="00232D9C">
        <w:rPr>
          <w:b/>
        </w:rPr>
        <w:t>8</w:t>
      </w:r>
      <w:r w:rsidRPr="001C74E4">
        <w:rPr>
          <w:b/>
        </w:rPr>
        <w:t xml:space="preserve"> – </w:t>
      </w:r>
      <w:r w:rsidR="00232D9C">
        <w:rPr>
          <w:b/>
        </w:rPr>
        <w:t>CGM</w:t>
      </w:r>
    </w:p>
    <w:p w:rsidR="00123E14" w:rsidRPr="001C74E4" w:rsidRDefault="00123E14" w:rsidP="00954566">
      <w:pPr>
        <w:jc w:val="right"/>
      </w:pPr>
      <w:r w:rsidRPr="001C74E4">
        <w:lastRenderedPageBreak/>
        <w:t xml:space="preserve">Gaspar, </w:t>
      </w:r>
      <w:r w:rsidR="00232D9C">
        <w:t>2</w:t>
      </w:r>
      <w:r w:rsidR="00C4626D">
        <w:t>8</w:t>
      </w:r>
      <w:r w:rsidRPr="001C74E4">
        <w:t xml:space="preserve"> de </w:t>
      </w:r>
      <w:r w:rsidR="00A915A6">
        <w:t>març</w:t>
      </w:r>
      <w:r w:rsidR="00343DC5" w:rsidRPr="001C74E4">
        <w:t>o</w:t>
      </w:r>
      <w:r w:rsidR="00A75231" w:rsidRPr="001C74E4">
        <w:t xml:space="preserve"> </w:t>
      </w:r>
      <w:r w:rsidR="00F77831" w:rsidRPr="001C74E4">
        <w:t>de 201</w:t>
      </w:r>
      <w:r w:rsidR="00232D9C">
        <w:t>8</w:t>
      </w:r>
      <w:r w:rsidR="00F77831" w:rsidRPr="001C74E4">
        <w:t>.</w:t>
      </w:r>
    </w:p>
    <w:p w:rsidR="00123E14" w:rsidRPr="001C74E4" w:rsidRDefault="00123E14" w:rsidP="00433AF0">
      <w:pPr>
        <w:jc w:val="both"/>
        <w:sectPr w:rsidR="00123E14" w:rsidRPr="001C74E4" w:rsidSect="00123E14">
          <w:headerReference w:type="default" r:id="rId7"/>
          <w:footerReference w:type="even" r:id="rId8"/>
          <w:footerReference w:type="default" r:id="rId9"/>
          <w:type w:val="continuous"/>
          <w:pgSz w:w="11906" w:h="16838"/>
          <w:pgMar w:top="2835" w:right="1134" w:bottom="1134" w:left="1701" w:header="709" w:footer="709" w:gutter="0"/>
          <w:cols w:num="2" w:space="708"/>
          <w:docGrid w:linePitch="360"/>
        </w:sectPr>
      </w:pPr>
    </w:p>
    <w:p w:rsidR="00123E14" w:rsidRPr="001C74E4" w:rsidRDefault="00123E14" w:rsidP="00433AF0">
      <w:pPr>
        <w:jc w:val="both"/>
      </w:pPr>
      <w:r w:rsidRPr="001C74E4">
        <w:lastRenderedPageBreak/>
        <w:t xml:space="preserve"> </w:t>
      </w:r>
    </w:p>
    <w:p w:rsidR="00123E14" w:rsidRPr="001C74E4" w:rsidRDefault="00123E14" w:rsidP="00433AF0">
      <w:pPr>
        <w:jc w:val="both"/>
      </w:pPr>
    </w:p>
    <w:p w:rsidR="00123E14" w:rsidRPr="001C74E4" w:rsidRDefault="00123E14" w:rsidP="00433AF0">
      <w:pPr>
        <w:jc w:val="both"/>
      </w:pPr>
    </w:p>
    <w:p w:rsidR="00123E14" w:rsidRPr="001C74E4" w:rsidRDefault="00D70770" w:rsidP="00433AF0">
      <w:pPr>
        <w:jc w:val="both"/>
      </w:pPr>
      <w:r w:rsidRPr="001C74E4">
        <w:t>A Vossa Excelência, o</w:t>
      </w:r>
      <w:r w:rsidR="00CC2A4D" w:rsidRPr="001C74E4">
        <w:t xml:space="preserve"> Senhor</w:t>
      </w:r>
      <w:r w:rsidR="00123E14" w:rsidRPr="001C74E4">
        <w:t>,</w:t>
      </w:r>
    </w:p>
    <w:p w:rsidR="00123E14" w:rsidRPr="001C74E4" w:rsidRDefault="00232D9C" w:rsidP="00433AF0">
      <w:pPr>
        <w:jc w:val="both"/>
        <w:rPr>
          <w:b/>
          <w:highlight w:val="yellow"/>
        </w:rPr>
      </w:pPr>
      <w:r>
        <w:rPr>
          <w:b/>
        </w:rPr>
        <w:t>Luiz Eduardo Cherem</w:t>
      </w:r>
    </w:p>
    <w:p w:rsidR="00123E14" w:rsidRPr="001C74E4" w:rsidRDefault="00CC2A4D" w:rsidP="00433AF0">
      <w:pPr>
        <w:jc w:val="both"/>
      </w:pPr>
      <w:r w:rsidRPr="001C74E4">
        <w:t>Conselheiro Presidente</w:t>
      </w:r>
      <w:r w:rsidR="00343DC5" w:rsidRPr="001C74E4">
        <w:t>,</w:t>
      </w:r>
    </w:p>
    <w:p w:rsidR="00A271DF" w:rsidRPr="001C74E4" w:rsidRDefault="00A271DF" w:rsidP="00433AF0">
      <w:pPr>
        <w:jc w:val="both"/>
      </w:pPr>
    </w:p>
    <w:p w:rsidR="00CC2A4D" w:rsidRPr="001C74E4" w:rsidRDefault="00CC2A4D" w:rsidP="00433AF0">
      <w:pPr>
        <w:jc w:val="both"/>
      </w:pPr>
    </w:p>
    <w:p w:rsidR="00123E14" w:rsidRPr="001C74E4" w:rsidRDefault="00123E14" w:rsidP="00433AF0">
      <w:pPr>
        <w:jc w:val="both"/>
        <w:rPr>
          <w:b/>
        </w:rPr>
      </w:pPr>
      <w:r w:rsidRPr="001C74E4">
        <w:rPr>
          <w:b/>
        </w:rPr>
        <w:t>TRIBUNAL DE CONTAS DO ESTADO DE SANTA CATARINA</w:t>
      </w:r>
    </w:p>
    <w:p w:rsidR="00123E14" w:rsidRPr="001C74E4" w:rsidRDefault="00123E14" w:rsidP="00433AF0">
      <w:pPr>
        <w:jc w:val="both"/>
      </w:pPr>
      <w:r w:rsidRPr="001C74E4">
        <w:t>Rua Bulcão Vianna, 90 – Caixa Postal 733 - Centro.</w:t>
      </w:r>
    </w:p>
    <w:p w:rsidR="00123E14" w:rsidRPr="001C74E4" w:rsidRDefault="00123E14" w:rsidP="00433AF0">
      <w:pPr>
        <w:jc w:val="both"/>
      </w:pPr>
      <w:r w:rsidRPr="001C74E4">
        <w:t>Florianópolis – SC – CEP 88.010-970</w:t>
      </w:r>
    </w:p>
    <w:p w:rsidR="00123E14" w:rsidRPr="001C74E4" w:rsidRDefault="00123E14" w:rsidP="00433AF0">
      <w:pPr>
        <w:jc w:val="both"/>
      </w:pPr>
    </w:p>
    <w:p w:rsidR="00CC2A4D" w:rsidRPr="001C74E4" w:rsidRDefault="00CC2A4D" w:rsidP="00433AF0">
      <w:pPr>
        <w:jc w:val="both"/>
      </w:pPr>
    </w:p>
    <w:p w:rsidR="00123E14" w:rsidRPr="001C74E4" w:rsidRDefault="00123E14" w:rsidP="00433AF0">
      <w:pPr>
        <w:jc w:val="both"/>
      </w:pPr>
    </w:p>
    <w:p w:rsidR="00BA7A3F" w:rsidRPr="001C74E4" w:rsidRDefault="00123E14" w:rsidP="00BA7A3F">
      <w:pPr>
        <w:jc w:val="both"/>
        <w:rPr>
          <w:b/>
        </w:rPr>
      </w:pPr>
      <w:r w:rsidRPr="001C74E4">
        <w:t>ASSUNTO:</w:t>
      </w:r>
      <w:r w:rsidRPr="001C74E4">
        <w:rPr>
          <w:b/>
        </w:rPr>
        <w:t xml:space="preserve"> </w:t>
      </w:r>
      <w:r w:rsidR="00BA7A3F" w:rsidRPr="001C74E4">
        <w:rPr>
          <w:b/>
        </w:rPr>
        <w:t>RELATÓRIO DO ÓRGÃO DE CONTROLE INTERNO SOBRE A PRESTAÇÃO DE CONTAS DE GESTÃO DA</w:t>
      </w:r>
      <w:r w:rsidR="00E67D49" w:rsidRPr="001C74E4">
        <w:rPr>
          <w:b/>
        </w:rPr>
        <w:t xml:space="preserve">S UNIDADES GESTORAS DO MUNICÍPIO DE </w:t>
      </w:r>
      <w:r w:rsidR="00E67D49" w:rsidRPr="003D4EB5">
        <w:rPr>
          <w:b/>
        </w:rPr>
        <w:t>GASPAR</w:t>
      </w:r>
      <w:r w:rsidR="00BA7A3F" w:rsidRPr="003D4EB5">
        <w:rPr>
          <w:b/>
        </w:rPr>
        <w:t xml:space="preserve"> </w:t>
      </w:r>
      <w:r w:rsidR="003D20CF" w:rsidRPr="003D4EB5">
        <w:rPr>
          <w:b/>
        </w:rPr>
        <w:t>ATINENTES AO EXERCICIO DE 2017</w:t>
      </w:r>
      <w:r w:rsidR="00B75634">
        <w:rPr>
          <w:b/>
        </w:rPr>
        <w:t>,</w:t>
      </w:r>
      <w:r w:rsidR="003D20CF">
        <w:rPr>
          <w:b/>
        </w:rPr>
        <w:t xml:space="preserve"> </w:t>
      </w:r>
      <w:r w:rsidR="00BA7A3F" w:rsidRPr="001C74E4">
        <w:rPr>
          <w:b/>
        </w:rPr>
        <w:t>CONFORME ART. 16 DA INSTRUÇÃO NORMATIVA N.TC-0020/2015.</w:t>
      </w:r>
    </w:p>
    <w:p w:rsidR="00123E14" w:rsidRPr="001C74E4" w:rsidRDefault="00123E14" w:rsidP="00433AF0">
      <w:pPr>
        <w:jc w:val="both"/>
      </w:pPr>
    </w:p>
    <w:p w:rsidR="00123E14" w:rsidRPr="001C74E4" w:rsidRDefault="00123E14" w:rsidP="00433AF0">
      <w:pPr>
        <w:jc w:val="both"/>
      </w:pPr>
    </w:p>
    <w:p w:rsidR="00343DC5" w:rsidRPr="001C74E4" w:rsidRDefault="00343DC5" w:rsidP="00433AF0">
      <w:pPr>
        <w:spacing w:after="120"/>
        <w:ind w:firstLine="851"/>
        <w:jc w:val="both"/>
        <w:rPr>
          <w:b/>
        </w:rPr>
      </w:pPr>
    </w:p>
    <w:p w:rsidR="00123E14" w:rsidRPr="001C74E4" w:rsidRDefault="003D5B12" w:rsidP="003D5B12">
      <w:pPr>
        <w:spacing w:after="120"/>
        <w:jc w:val="both"/>
        <w:rPr>
          <w:b/>
        </w:rPr>
      </w:pPr>
      <w:r>
        <w:rPr>
          <w:b/>
        </w:rPr>
        <w:t>Excelentíssimo Senhor</w:t>
      </w:r>
      <w:r w:rsidR="00123E14" w:rsidRPr="001C74E4">
        <w:rPr>
          <w:b/>
        </w:rPr>
        <w:t>,</w:t>
      </w:r>
    </w:p>
    <w:p w:rsidR="00123E14" w:rsidRPr="001C74E4" w:rsidRDefault="00123E14" w:rsidP="00433AF0">
      <w:pPr>
        <w:spacing w:after="120"/>
        <w:ind w:firstLine="851"/>
        <w:jc w:val="both"/>
      </w:pPr>
    </w:p>
    <w:p w:rsidR="00D61BDF" w:rsidRPr="001C74E4" w:rsidRDefault="00D61BDF" w:rsidP="00D61BDF">
      <w:pPr>
        <w:spacing w:after="120"/>
        <w:ind w:firstLine="851"/>
        <w:jc w:val="both"/>
      </w:pPr>
      <w:r w:rsidRPr="001C74E4">
        <w:t xml:space="preserve">Cumprimentando-o cordialmente, considerando o disposto no Art. </w:t>
      </w:r>
      <w:r w:rsidR="00C4626D">
        <w:t>16 da Instrução Normativa N.TC-</w:t>
      </w:r>
      <w:r w:rsidRPr="001C74E4">
        <w:t>020/2015 que “Estabelece critérios para organização e apresentação da prestação de contas anual, normas relativas à remessa de dados, informações e demonstrativos por meio eletrônico e dá outras providências.”.</w:t>
      </w:r>
    </w:p>
    <w:p w:rsidR="00D61BDF" w:rsidRPr="001C74E4" w:rsidRDefault="00D61BDF" w:rsidP="00D61BDF">
      <w:pPr>
        <w:spacing w:after="120"/>
        <w:ind w:firstLine="851"/>
        <w:jc w:val="both"/>
      </w:pPr>
      <w:r w:rsidRPr="001C74E4">
        <w:t>Encaminhamos abaixo as informações relativas ao relatório do Controle Interno de exame da prestação anual de contas das unidades gestoras do Município de Gaspar,</w:t>
      </w:r>
      <w:r w:rsidR="00825CCF">
        <w:t xml:space="preserve"> compreendendo as unidades gestora</w:t>
      </w:r>
      <w:r w:rsidR="000D264F">
        <w:t>s</w:t>
      </w:r>
      <w:r w:rsidR="00825CCF">
        <w:t xml:space="preserve">, </w:t>
      </w:r>
      <w:r w:rsidR="00825CCF" w:rsidRPr="00825CCF">
        <w:t>Prefeitura Municipal de Gaspar</w:t>
      </w:r>
      <w:r w:rsidR="00825CCF">
        <w:t xml:space="preserve">, </w:t>
      </w:r>
      <w:r w:rsidR="00825CCF" w:rsidRPr="00825CCF">
        <w:t>Fundação Municipal de Esportes de Gaspar</w:t>
      </w:r>
      <w:r w:rsidR="00825CCF">
        <w:t xml:space="preserve">, </w:t>
      </w:r>
      <w:r w:rsidR="00825CCF" w:rsidRPr="00825CCF">
        <w:t>Fundo Municipal da Criança e Adolescente de Gaspar</w:t>
      </w:r>
      <w:r w:rsidR="00825CCF">
        <w:t xml:space="preserve">, </w:t>
      </w:r>
      <w:r w:rsidR="00825CCF" w:rsidRPr="00825CCF">
        <w:t>Fundo Municipal de Assistência Social de Gaspar</w:t>
      </w:r>
      <w:r w:rsidR="000D264F">
        <w:t xml:space="preserve"> e </w:t>
      </w:r>
      <w:r w:rsidR="000D264F" w:rsidRPr="000D264F">
        <w:t>Fundo Municipal de Saúde de Gaspar</w:t>
      </w:r>
      <w:r w:rsidR="000D264F">
        <w:t>,</w:t>
      </w:r>
      <w:r w:rsidR="00825CCF">
        <w:t xml:space="preserve"> </w:t>
      </w:r>
      <w:r w:rsidRPr="001C74E4">
        <w:t xml:space="preserve">com os elementos indicados no Anexo VII da </w:t>
      </w:r>
      <w:r w:rsidR="000D264F" w:rsidRPr="000D264F">
        <w:t>Instrução Normativa N.TC-0020/2015</w:t>
      </w:r>
      <w:r w:rsidRPr="001C74E4">
        <w:t xml:space="preserve">, como passamos a expor abaixo: </w:t>
      </w:r>
    </w:p>
    <w:p w:rsidR="00D61BDF" w:rsidRPr="001C74E4" w:rsidRDefault="00D61BDF" w:rsidP="00343DC5">
      <w:pPr>
        <w:jc w:val="both"/>
        <w:rPr>
          <w:b/>
          <w:color w:val="000000"/>
        </w:rPr>
      </w:pPr>
    </w:p>
    <w:p w:rsidR="001C74E4" w:rsidRPr="001C74E4" w:rsidRDefault="004803C8" w:rsidP="001C74E4">
      <w:pPr>
        <w:pStyle w:val="Default"/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t>I - INFORMAÇÕES SOBRE O FUNCIONAMENTO DO SISTEMA DE CONTROLE INTERNO DA</w:t>
      </w:r>
      <w:r>
        <w:rPr>
          <w:rFonts w:ascii="Times New Roman" w:hAnsi="Times New Roman" w:cs="Times New Roman"/>
          <w:b/>
        </w:rPr>
        <w:t>S</w:t>
      </w:r>
      <w:r w:rsidRPr="001C74E4">
        <w:rPr>
          <w:rFonts w:ascii="Times New Roman" w:hAnsi="Times New Roman" w:cs="Times New Roman"/>
          <w:b/>
        </w:rPr>
        <w:t xml:space="preserve"> UNIDADE</w:t>
      </w:r>
      <w:r>
        <w:rPr>
          <w:rFonts w:ascii="Times New Roman" w:hAnsi="Times New Roman" w:cs="Times New Roman"/>
          <w:b/>
        </w:rPr>
        <w:t>S</w:t>
      </w:r>
      <w:r w:rsidRPr="001C74E4">
        <w:rPr>
          <w:rFonts w:ascii="Times New Roman" w:hAnsi="Times New Roman" w:cs="Times New Roman"/>
          <w:b/>
        </w:rPr>
        <w:t xml:space="preserve"> JURISDICIONADA:</w:t>
      </w:r>
    </w:p>
    <w:p w:rsidR="001C74E4" w:rsidRPr="001C74E4" w:rsidRDefault="001C74E4" w:rsidP="001C74E4">
      <w:pPr>
        <w:pStyle w:val="Default"/>
        <w:jc w:val="both"/>
        <w:rPr>
          <w:rFonts w:ascii="Times New Roman" w:hAnsi="Times New Roman" w:cs="Times New Roman"/>
          <w:b/>
        </w:rPr>
      </w:pPr>
    </w:p>
    <w:p w:rsidR="001C74E4" w:rsidRDefault="001C74E4" w:rsidP="00825CCF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t>Estrutura Orgânica: Organograma do Órgão de Controle Interno</w:t>
      </w:r>
    </w:p>
    <w:p w:rsidR="00494870" w:rsidRDefault="00ED4C97" w:rsidP="00494870">
      <w:pPr>
        <w:spacing w:after="120"/>
        <w:ind w:firstLine="851"/>
        <w:jc w:val="both"/>
      </w:pPr>
      <w:r>
        <w:t>A organização do Sistema de Controle Interno está prevista</w:t>
      </w:r>
      <w:r w:rsidR="00C4626D">
        <w:t xml:space="preserve"> n</w:t>
      </w:r>
      <w:r>
        <w:t>a</w:t>
      </w:r>
      <w:r w:rsidR="00494870">
        <w:t xml:space="preserve"> L</w:t>
      </w:r>
      <w:r w:rsidR="0098268C">
        <w:t xml:space="preserve">ei </w:t>
      </w:r>
      <w:r w:rsidR="00494870">
        <w:t>C</w:t>
      </w:r>
      <w:r w:rsidR="0098268C">
        <w:t>om</w:t>
      </w:r>
      <w:r w:rsidR="00494870">
        <w:t>p</w:t>
      </w:r>
      <w:r w:rsidR="0098268C">
        <w:t>lementar</w:t>
      </w:r>
      <w:r w:rsidR="00494870">
        <w:t xml:space="preserve"> 81/2017, de 02 de agosto de 2017,</w:t>
      </w:r>
      <w:r>
        <w:t xml:space="preserve"> que</w:t>
      </w:r>
      <w:r w:rsidR="00494870">
        <w:t xml:space="preserve"> dispõe sobre a organização do Sistema de Controle Interno, cria a Controladoria Geral do Município e dá outras providências.</w:t>
      </w:r>
    </w:p>
    <w:p w:rsidR="00494870" w:rsidRPr="00EC2880" w:rsidRDefault="00494870" w:rsidP="00494870">
      <w:pPr>
        <w:jc w:val="center"/>
        <w:rPr>
          <w:rFonts w:ascii="Book Antiqua" w:hAnsi="Book Antiqua"/>
          <w:bCs/>
          <w:color w:val="000000"/>
          <w:spacing w:val="-2"/>
        </w:rPr>
      </w:pPr>
      <w:r w:rsidRPr="00EC2880">
        <w:rPr>
          <w:rFonts w:ascii="Book Antiqua" w:hAnsi="Book Antiqua"/>
          <w:bCs/>
          <w:color w:val="000000"/>
          <w:spacing w:val="-2"/>
        </w:rPr>
        <w:lastRenderedPageBreak/>
        <w:t>CAPÍTULO I</w:t>
      </w:r>
    </w:p>
    <w:p w:rsidR="00494870" w:rsidRPr="00EC2880" w:rsidRDefault="00494870" w:rsidP="00494870">
      <w:pPr>
        <w:jc w:val="center"/>
        <w:rPr>
          <w:rFonts w:ascii="Book Antiqua" w:hAnsi="Book Antiqua"/>
          <w:bCs/>
          <w:color w:val="000000"/>
          <w:spacing w:val="-2"/>
        </w:rPr>
      </w:pPr>
      <w:r w:rsidRPr="00EC2880">
        <w:rPr>
          <w:rFonts w:ascii="Book Antiqua" w:hAnsi="Book Antiqua"/>
          <w:bCs/>
          <w:color w:val="000000"/>
          <w:spacing w:val="-2"/>
        </w:rPr>
        <w:t>DA ORGANIZAÇÃO DO SISTEMA DE CONTROLE INTERNO</w:t>
      </w:r>
    </w:p>
    <w:p w:rsidR="00494870" w:rsidRPr="00EC2880" w:rsidRDefault="00494870" w:rsidP="00494870">
      <w:pPr>
        <w:ind w:firstLine="851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Art. 1º A organização e fiscalização no Município através do sistema de controle interno ficam estabelecidas na forma desta Lei Complementar, do art. 63 da Lei Orgânica do Município de Gaspar e nos termos do que dispõe o art. 31 e o art. 74 da Constituição da República Federativa do Brasil de 1988.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 xml:space="preserve">Art. 2º A organização dos controles internos no Município de Gaspar visa ao controle e à avaliação da ação governamental, da gestão fiscal dos administradores e da aplicação das subvenções e renúncia de receitas, por intermédio da fiscalização contábil, financeira, orçamentária, operacional e patrimonial, quanto à legalidade, à impessoalidade, à moralidade, à publicidade e à eficiência. 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Art. 3º Integram o sistema de controle interno de que trata esta Lei Complementar o Poder Executivo em sua Administração Direta, incluindo os fundos especiais, autarquias, fundações públicas instituídas pelo Município, de direito público ou privado, os consórcios públicos de que o Município fizer parte.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Parágrafo único. As pessoas físicas e jurídicas, de direito público ou privado, que recebam recursos públicos ficam ao alcance da fiscalização pelo sistema de controle interno do Município.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Art. 4º Considera-se para efeito desta Lei Complementar: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I – Sistema de Controle Interno: conjunto de métodos, processos e pessoas, orientadas para evitar erros, fraudes e desperdícios;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II - Controle interno: processo desenvolvido para identificar eventos que possam afetar o desempenho da entidade, a fim de monitorar riscos e assegurar que estejam compatíveis com a propensão ao risco estabelecida, de forma a prover, com segurança razoável, o alcance dos objetivos, em especial nas seguintes categorias: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a) estratégica: categoria relacionada com os objetivos estratégicos da entidade, estabelecidos em seu planejamento;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b) eficiência e efetividade operacional: categoria relacionada com os objetivos e as metas de desempenho, bem como da segurança e qualidade dos ativos;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c) confiança nos registros contábeis: categoria relacionada às informações e demonstrações contábeis, na qual todas as transações devem ser registradas, todos os registros devem refletir transações reais, consignadas pelos valores e enquadramentos corretos; e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d) conformidade: categoria relacionada à conformidade com leis e normativos aplicáveis ao órgão ou entidade e a sua área de atuação;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>III - Órgão Central do Sistema de Controle Interno: unidade administrativa integrante do sistema de controle interno da Administração Pública Municipal, incumbida da coordenação, do planejamento, da normatização e do controle das atividades do sistema de controle interno, bem como do apoio às atividades de controle externo exercido pelo Tribunal de Contas;</w:t>
      </w: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</w:p>
    <w:p w:rsidR="00494870" w:rsidRPr="00EC2880" w:rsidRDefault="00494870" w:rsidP="00494870">
      <w:pPr>
        <w:ind w:firstLine="540"/>
        <w:jc w:val="both"/>
        <w:rPr>
          <w:rFonts w:ascii="Book Antiqua" w:hAnsi="Book Antiqua"/>
          <w:color w:val="000000"/>
          <w:spacing w:val="-2"/>
        </w:rPr>
      </w:pPr>
      <w:r w:rsidRPr="00EC2880">
        <w:rPr>
          <w:rFonts w:ascii="Book Antiqua" w:hAnsi="Book Antiqua"/>
          <w:color w:val="000000"/>
          <w:spacing w:val="-2"/>
        </w:rPr>
        <w:t xml:space="preserve">IV - Órgão de Controle Interno: unidade administrativa integrante da estrutura do Órgão Central do Sistema de Controle Interno, com atividades, funções e competências segregadas das demais unidades administrativas, inclusive em relação às unidades de execução orçamentária e financeira, incumbida, dentre outras funções, da verificação da regularidade dos atos de gestão e da consistência e qualidade dos controles internos, bem como do apoio às atividades de controle externo exercido pelo Tribunal de Contas. </w:t>
      </w:r>
    </w:p>
    <w:p w:rsidR="00494870" w:rsidRDefault="00494870" w:rsidP="00494870">
      <w:pPr>
        <w:spacing w:after="120"/>
        <w:ind w:firstLine="851"/>
        <w:jc w:val="both"/>
      </w:pPr>
      <w:bookmarkStart w:id="0" w:name="art5§2"/>
      <w:bookmarkEnd w:id="0"/>
    </w:p>
    <w:p w:rsidR="0024126C" w:rsidRPr="0024126C" w:rsidRDefault="001C74E4" w:rsidP="00494870">
      <w:pPr>
        <w:spacing w:after="120"/>
        <w:ind w:firstLine="851"/>
        <w:jc w:val="both"/>
        <w:rPr>
          <w:b/>
        </w:rPr>
      </w:pPr>
      <w:r w:rsidRPr="001C74E4">
        <w:rPr>
          <w:b/>
        </w:rPr>
        <w:t>Estrutura de Pessoal: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338"/>
        <w:gridCol w:w="1945"/>
        <w:gridCol w:w="4928"/>
      </w:tblGrid>
      <w:tr w:rsidR="00A95C25" w:rsidRPr="0024126C" w:rsidTr="00E41EE9">
        <w:trPr>
          <w:trHeight w:val="330"/>
        </w:trPr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C25" w:rsidRPr="0024126C" w:rsidRDefault="0024126C" w:rsidP="0024126C">
            <w:pPr>
              <w:jc w:val="center"/>
              <w:rPr>
                <w:b/>
                <w:bCs/>
                <w:color w:val="000000"/>
              </w:rPr>
            </w:pPr>
            <w:r w:rsidRPr="0024126C">
              <w:rPr>
                <w:b/>
                <w:bCs/>
                <w:color w:val="000000"/>
                <w:sz w:val="22"/>
                <w:szCs w:val="22"/>
              </w:rPr>
              <w:t>SERVIDOR</w:t>
            </w:r>
          </w:p>
        </w:tc>
        <w:tc>
          <w:tcPr>
            <w:tcW w:w="105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C25" w:rsidRPr="0024126C" w:rsidRDefault="0024126C" w:rsidP="0024126C">
            <w:pPr>
              <w:jc w:val="center"/>
              <w:rPr>
                <w:b/>
                <w:bCs/>
                <w:color w:val="000000"/>
              </w:rPr>
            </w:pPr>
            <w:r w:rsidRPr="0024126C">
              <w:rPr>
                <w:b/>
                <w:bCs/>
                <w:color w:val="000000"/>
                <w:sz w:val="22"/>
                <w:szCs w:val="22"/>
              </w:rPr>
              <w:t>CARGO</w:t>
            </w:r>
          </w:p>
        </w:tc>
        <w:tc>
          <w:tcPr>
            <w:tcW w:w="2675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95C25" w:rsidRPr="0024126C" w:rsidRDefault="0024126C" w:rsidP="0024126C">
            <w:pPr>
              <w:jc w:val="center"/>
              <w:rPr>
                <w:b/>
                <w:bCs/>
                <w:color w:val="000000"/>
              </w:rPr>
            </w:pPr>
            <w:r w:rsidRPr="0024126C">
              <w:rPr>
                <w:b/>
                <w:bCs/>
                <w:color w:val="000000"/>
                <w:sz w:val="22"/>
                <w:szCs w:val="22"/>
              </w:rPr>
              <w:t>ATRIBUIÇÕES NO CONTROLE INTERNO</w:t>
            </w:r>
          </w:p>
        </w:tc>
      </w:tr>
      <w:tr w:rsidR="00A95C25" w:rsidTr="00E41EE9">
        <w:trPr>
          <w:trHeight w:val="4944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25" w:rsidRPr="008F58A2" w:rsidRDefault="00ED4C97" w:rsidP="008F58A2">
            <w:pPr>
              <w:jc w:val="center"/>
              <w:rPr>
                <w:color w:val="000000"/>
                <w:sz w:val="16"/>
                <w:szCs w:val="16"/>
              </w:rPr>
            </w:pPr>
            <w:r w:rsidRPr="008F58A2">
              <w:rPr>
                <w:color w:val="000000"/>
                <w:sz w:val="16"/>
                <w:szCs w:val="16"/>
              </w:rPr>
              <w:t>Jean C</w:t>
            </w:r>
            <w:r w:rsidR="001B194A" w:rsidRPr="008F58A2">
              <w:rPr>
                <w:color w:val="000000"/>
                <w:sz w:val="16"/>
                <w:szCs w:val="16"/>
              </w:rPr>
              <w:t>arlos de Oliveira</w:t>
            </w:r>
          </w:p>
          <w:p w:rsidR="008F58A2" w:rsidRPr="008F58A2" w:rsidRDefault="008F58A2" w:rsidP="008F58A2">
            <w:pPr>
              <w:jc w:val="center"/>
              <w:rPr>
                <w:color w:val="000000"/>
                <w:sz w:val="16"/>
                <w:szCs w:val="16"/>
              </w:rPr>
            </w:pPr>
            <w:r w:rsidRPr="008F58A2">
              <w:rPr>
                <w:color w:val="000000"/>
                <w:sz w:val="16"/>
                <w:szCs w:val="16"/>
              </w:rPr>
              <w:t>Superintendente de Controle Interno</w:t>
            </w:r>
          </w:p>
          <w:p w:rsidR="008F58A2" w:rsidRPr="008F58A2" w:rsidRDefault="003F6BB8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  <w:r w:rsidRPr="008F58A2">
              <w:rPr>
                <w:color w:val="000000"/>
                <w:sz w:val="16"/>
                <w:szCs w:val="16"/>
              </w:rPr>
              <w:t>Decreto de Nomeação: 7.283/2017</w:t>
            </w:r>
            <w:r w:rsidR="009930C2" w:rsidRPr="008F58A2">
              <w:rPr>
                <w:color w:val="000000"/>
                <w:sz w:val="16"/>
                <w:szCs w:val="16"/>
              </w:rPr>
              <w:t xml:space="preserve"> - </w:t>
            </w:r>
            <w:r w:rsidRPr="008F58A2">
              <w:rPr>
                <w:color w:val="000000"/>
                <w:sz w:val="16"/>
                <w:szCs w:val="16"/>
              </w:rPr>
              <w:t>01/01/2017</w:t>
            </w:r>
          </w:p>
          <w:p w:rsidR="001B194A" w:rsidRPr="008F58A2" w:rsidRDefault="003F6BB8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  <w:r w:rsidRPr="008F58A2">
              <w:rPr>
                <w:color w:val="000000"/>
                <w:sz w:val="16"/>
                <w:szCs w:val="16"/>
              </w:rPr>
              <w:t xml:space="preserve">Decreto de Exoneração: </w:t>
            </w:r>
            <w:r w:rsidR="009930C2" w:rsidRPr="008F58A2">
              <w:rPr>
                <w:color w:val="000000"/>
                <w:sz w:val="16"/>
                <w:szCs w:val="16"/>
              </w:rPr>
              <w:t xml:space="preserve"> 7.597/2017 - </w:t>
            </w:r>
            <w:r w:rsidRPr="008F58A2">
              <w:rPr>
                <w:color w:val="000000"/>
                <w:sz w:val="16"/>
                <w:szCs w:val="16"/>
              </w:rPr>
              <w:t>03/08/2017</w:t>
            </w:r>
          </w:p>
          <w:p w:rsidR="009930C2" w:rsidRPr="008F58A2" w:rsidRDefault="009930C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</w:p>
          <w:p w:rsidR="009930C2" w:rsidRPr="008F58A2" w:rsidRDefault="009930C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</w:p>
          <w:p w:rsidR="009930C2" w:rsidRDefault="009930C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  <w:r w:rsidRPr="008F58A2">
              <w:rPr>
                <w:color w:val="000000"/>
                <w:sz w:val="16"/>
                <w:szCs w:val="16"/>
              </w:rPr>
              <w:t>Ademor Luiz Machado</w:t>
            </w:r>
          </w:p>
          <w:p w:rsidR="008F58A2" w:rsidRPr="008F58A2" w:rsidRDefault="008F58A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Controlador Geral do Município</w:t>
            </w:r>
          </w:p>
          <w:p w:rsidR="009930C2" w:rsidRPr="008F58A2" w:rsidRDefault="009930C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  <w:r w:rsidRPr="008F58A2">
              <w:rPr>
                <w:color w:val="000000"/>
                <w:sz w:val="16"/>
                <w:szCs w:val="16"/>
              </w:rPr>
              <w:t>Decreto de Nomeação: 7.609/2017 - 04/08/2017 Decreto de Exoneração:  7.597/201</w:t>
            </w:r>
            <w:r w:rsidR="008F58A2" w:rsidRPr="008F58A2">
              <w:rPr>
                <w:color w:val="000000"/>
                <w:sz w:val="16"/>
                <w:szCs w:val="16"/>
              </w:rPr>
              <w:t>8</w:t>
            </w:r>
            <w:r w:rsidRPr="008F58A2">
              <w:rPr>
                <w:color w:val="000000"/>
                <w:sz w:val="16"/>
                <w:szCs w:val="16"/>
              </w:rPr>
              <w:t xml:space="preserve"> - 0</w:t>
            </w:r>
            <w:r w:rsidR="008F58A2" w:rsidRPr="008F58A2">
              <w:rPr>
                <w:color w:val="000000"/>
                <w:sz w:val="16"/>
                <w:szCs w:val="16"/>
              </w:rPr>
              <w:t>1</w:t>
            </w:r>
            <w:r w:rsidRPr="008F58A2">
              <w:rPr>
                <w:color w:val="000000"/>
                <w:sz w:val="16"/>
                <w:szCs w:val="16"/>
              </w:rPr>
              <w:t>/0</w:t>
            </w:r>
            <w:r w:rsidR="008F58A2" w:rsidRPr="008F58A2">
              <w:rPr>
                <w:color w:val="000000"/>
                <w:sz w:val="16"/>
                <w:szCs w:val="16"/>
              </w:rPr>
              <w:t>2</w:t>
            </w:r>
            <w:r w:rsidRPr="008F58A2">
              <w:rPr>
                <w:color w:val="000000"/>
                <w:sz w:val="16"/>
                <w:szCs w:val="16"/>
              </w:rPr>
              <w:t>/201</w:t>
            </w:r>
            <w:r w:rsidR="008F58A2" w:rsidRPr="008F58A2">
              <w:rPr>
                <w:color w:val="000000"/>
                <w:sz w:val="16"/>
                <w:szCs w:val="16"/>
              </w:rPr>
              <w:t>8</w:t>
            </w:r>
          </w:p>
          <w:p w:rsidR="008F58A2" w:rsidRPr="008F58A2" w:rsidRDefault="008F58A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</w:p>
          <w:p w:rsidR="008F58A2" w:rsidRPr="008F58A2" w:rsidRDefault="008F58A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</w:p>
          <w:p w:rsidR="008F58A2" w:rsidRDefault="008F58A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  <w:r w:rsidRPr="008F58A2">
              <w:rPr>
                <w:color w:val="000000"/>
                <w:sz w:val="16"/>
                <w:szCs w:val="16"/>
              </w:rPr>
              <w:t>Jean Clóvis da Rosa Zen</w:t>
            </w:r>
          </w:p>
          <w:p w:rsidR="008F58A2" w:rsidRPr="008F58A2" w:rsidRDefault="008F58A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Controlador Geral do Município</w:t>
            </w:r>
          </w:p>
          <w:p w:rsidR="008F58A2" w:rsidRPr="008F58A2" w:rsidRDefault="008F58A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  <w:r w:rsidRPr="008F58A2">
              <w:rPr>
                <w:color w:val="000000"/>
                <w:sz w:val="16"/>
                <w:szCs w:val="16"/>
              </w:rPr>
              <w:t>Decreto de Nomeação: 7.895/2018: 01/02/2018</w:t>
            </w:r>
          </w:p>
          <w:p w:rsidR="009930C2" w:rsidRPr="008F58A2" w:rsidRDefault="009930C2" w:rsidP="008F58A2">
            <w:pPr>
              <w:pStyle w:val="NormalWeb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ED4C9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Controlador Geral do Município</w:t>
            </w:r>
          </w:p>
        </w:tc>
        <w:tc>
          <w:tcPr>
            <w:tcW w:w="2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5C25" w:rsidRDefault="00ED4C97" w:rsidP="00ED4C9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As atribuições do Controlador Geral do Município estão fixadas no Anexo I da Lei Complementar 81/2017.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I - instruir seus subordinados de modo que se conscientizem da responsabilidade que possuem;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II - elaborar e revisar, junto com os respectivos responsáveis pelos setores e Órgãos de Controle Interno, o manual de controle interno do Município;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III - estabelecer os itens de fiscalização que cada setor deve exigir no fluxo da realização das tarefas;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IV - fiscalizar o cumprimento do manual de controles internos;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V - cientificar o Prefeito sobre as irregularidades encontradas periodicamente;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VI - determinar, quando necessário, a realização de inspeção ou auditoria sobre a gestão dos recursos públicos municipais sob a responsabilidade de órgãos e entidades públicos e privados que guardem, gerenciem ou administrem recursos ou bens municipais;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VII - regulamentar as atividades de controle através de Instruções Normativas, inclusive quanto às denúncias encaminhadas pelos cidadãos, partidos políticos, organização, associação ou sindicato sobre irregularidades ou ilegalidades na Administração Municipal;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VIII - concentrar as consultas a serem formuladas pelos diversos subsistemas de controle do Município;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IX - verificar e assinar o Relatório de Gestão Fiscal do Chefe do Poder;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X - acompanhar o cumprimento de prazos de elaboração e entrega de relatórios e prestações de contas;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 xml:space="preserve">XI - emitir parecer sobre as contas prestadas ou tomadas por órgãos e entidades relativos a recursos públicos repassados </w:t>
            </w:r>
            <w:r w:rsidRPr="00ED4C97">
              <w:rPr>
                <w:color w:val="000000"/>
                <w:sz w:val="18"/>
                <w:szCs w:val="18"/>
              </w:rPr>
              <w:lastRenderedPageBreak/>
              <w:t>pelo Município;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XII - opinar em prestações ou tomada de contas exigidas por força da legislação;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XIII - verificar os atos administrativos quanto à legalidade, impessoalidade, moralidade, publicidade e eficiência;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XIV - emitir comunicados; fiscalizar o limite de despesa total e com pessoal dos Poderes; realizar o acompanhamento da realização do plano plurianual, lei de diretrizes orçamentárias e lei orçamentária anual.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XV - acompanhar e fiscalizar a execução da programação financeira e do cronograma de desembolso, inclusive quanto à realização das metas fiscais;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XVI - acompanhar e fiscalizar o cumprimento das metas financeiras e físicas dos programas de governo; realizar o controle dos limites e das condições para a inscrição de despesas em restos a pagar;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XVII - fiscalizar a aplicação e cômputo das despesas relativas à manutenção e desenvolvimento do ensino e às ações e serviços públicos de saúde;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XVIII - fiscalizar a realização de operações de créditos e os limites de endividamento e tarefas afins atinentes à manutenção do sistema de controle interno;</w:t>
            </w:r>
          </w:p>
          <w:p w:rsidR="00ED4C97" w:rsidRPr="00ED4C97" w:rsidRDefault="00ED4C97" w:rsidP="00ED4C97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ED4C97">
              <w:rPr>
                <w:color w:val="000000"/>
                <w:sz w:val="18"/>
                <w:szCs w:val="18"/>
              </w:rPr>
              <w:t>XIX - atuar para o cumprimento do disposto no Capítulo IV, Seção II desta Lei Complementar.</w:t>
            </w:r>
          </w:p>
          <w:p w:rsidR="00ED4C97" w:rsidRPr="00A95C25" w:rsidRDefault="00ED4C97" w:rsidP="00ED4C97">
            <w:pPr>
              <w:rPr>
                <w:color w:val="000000"/>
                <w:sz w:val="18"/>
                <w:szCs w:val="18"/>
              </w:rPr>
            </w:pPr>
          </w:p>
        </w:tc>
      </w:tr>
      <w:tr w:rsidR="00A95C25" w:rsidTr="00E41EE9">
        <w:trPr>
          <w:trHeight w:val="330"/>
        </w:trPr>
        <w:tc>
          <w:tcPr>
            <w:tcW w:w="1269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>
            <w:pPr>
              <w:jc w:val="center"/>
              <w:rPr>
                <w:color w:val="000000"/>
              </w:rPr>
            </w:pPr>
            <w:r w:rsidRPr="0024126C">
              <w:rPr>
                <w:color w:val="000000"/>
                <w:sz w:val="22"/>
                <w:szCs w:val="22"/>
              </w:rPr>
              <w:lastRenderedPageBreak/>
              <w:t>Luisa Tenfen Ferreira</w:t>
            </w:r>
          </w:p>
        </w:tc>
        <w:tc>
          <w:tcPr>
            <w:tcW w:w="1056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>
            <w:pPr>
              <w:jc w:val="center"/>
              <w:rPr>
                <w:color w:val="000000"/>
              </w:rPr>
            </w:pPr>
            <w:r w:rsidRPr="0024126C">
              <w:rPr>
                <w:color w:val="000000"/>
                <w:sz w:val="22"/>
                <w:szCs w:val="22"/>
              </w:rPr>
              <w:t>Encarregada de Controle Interno</w:t>
            </w:r>
          </w:p>
        </w:tc>
        <w:tc>
          <w:tcPr>
            <w:tcW w:w="2675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I – auxiliar e contribuir para o aprimoramento da gestão pública, orientando os demais servidores quanto à arrecadação e aplicação dos recursos públicos com observância dos princípios da economicidade, eficiência, eficácia e efetividade;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II – auxiliar no acompanhamento: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a) do cumprimento das metas previstas no plano plurianual e a execução dos programas de governo, em conformidade com a lei de diretrizes orçamentárias e os orçamentos do Estado ou do Município, conforme o caso;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b) dos resultados quanto à eficácia e eficiência da gestão orçamentária, financeira e patrimonial nos órgãos e entidades da administração pública, e da aplicação de recursos públicos concedidos a entidades de direito privado;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c) do cumprimento dos limites e das condições para realização de operações de crédito e inscrição em restos a pagar;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d) da adoção de providências para recondução dos montantes das dívidas consolidada e mobiliária aos limites de que trata a Lei Complementar Federal nº 101, de 4 de maio de 2000;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e) do cumprimento dos limites da despesa com pessoal e a adoção de medidas para o seu retorno aos limites estabelecidos nos artigos 22 e 23 da Lei Complementar Federal nº 101, de 4 de maio de 2000;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f) do cumprimento das normas relativas à destinação de recursos obtidos com a alienação de ativos, previstas na Lei Complementar Federal nº 101, de 4 de maio de 2000;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g) da instituição, previsão e efetiva arrecadação dos tributos de competência do ente da federação, em consonância com o artigo 11 da Lei Complementar Federal nº 101, de 4 de maio de 2000;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III – auxiliar na promoção da fiscalização contábil, financeira, orçamentária, operacional e patrimonial dos órgãos e entidades da administração pública quanto à legalidade, à legitimidade e à economicidade;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IV – auxiliar na organização e execução, por iniciativa do Órgão de Controle Interno ou por determinação do Tribunal de Contas do Estado, programação de auditoria contábil, financeira, </w:t>
            </w:r>
            <w:r w:rsidRPr="008B01CF">
              <w:rPr>
                <w:color w:val="000000"/>
                <w:sz w:val="18"/>
                <w:szCs w:val="18"/>
              </w:rPr>
              <w:lastRenderedPageBreak/>
              <w:t xml:space="preserve">orçamentária, operacional e patrimonial nas unidades administrativas sob seu controle, enviando à Corte de Contas os respectivos relatórios quando solicitado, ou forem necessários;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V – auxiliar no exame e avaliação da prestação de contas anual do órgão ou entidade e dos responsáveis sob seu controle, emitindo relatórios e pareceres;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 xml:space="preserve">VI – auxiliar na coordenação e promoção das remessas de dados e informações das unidades sob seu controle exigido pelo Tribunal de Contas em meio informatizado; </w:t>
            </w:r>
          </w:p>
          <w:p w:rsidR="008B01CF" w:rsidRPr="008B01CF" w:rsidRDefault="008B01CF" w:rsidP="008B01CF">
            <w:pPr>
              <w:ind w:firstLine="540"/>
              <w:jc w:val="both"/>
              <w:rPr>
                <w:color w:val="000000"/>
                <w:sz w:val="18"/>
                <w:szCs w:val="18"/>
              </w:rPr>
            </w:pPr>
            <w:r w:rsidRPr="008B01CF">
              <w:rPr>
                <w:color w:val="000000"/>
                <w:sz w:val="18"/>
                <w:szCs w:val="18"/>
              </w:rPr>
              <w:t>VII – auxiliar para a atuação e o cumprimento do disposto no Capítulo IV, Seção I desta Lei Complementar.</w:t>
            </w:r>
          </w:p>
          <w:p w:rsidR="00A95C25" w:rsidRPr="0024126C" w:rsidRDefault="00A95C25" w:rsidP="00A95C25">
            <w:pPr>
              <w:rPr>
                <w:color w:val="000000"/>
                <w:sz w:val="18"/>
                <w:szCs w:val="18"/>
              </w:rPr>
            </w:pPr>
          </w:p>
        </w:tc>
      </w:tr>
      <w:tr w:rsidR="00A95C25" w:rsidTr="0024126C">
        <w:trPr>
          <w:trHeight w:val="80"/>
        </w:trPr>
        <w:tc>
          <w:tcPr>
            <w:tcW w:w="12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 w:rsidP="00A95C25">
            <w:pPr>
              <w:rPr>
                <w:color w:val="000000"/>
              </w:rPr>
            </w:pPr>
          </w:p>
        </w:tc>
        <w:tc>
          <w:tcPr>
            <w:tcW w:w="10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5C25" w:rsidRPr="0024126C" w:rsidRDefault="00A95C25" w:rsidP="00A95C25">
            <w:pPr>
              <w:rPr>
                <w:color w:val="000000"/>
              </w:rPr>
            </w:pPr>
          </w:p>
        </w:tc>
        <w:tc>
          <w:tcPr>
            <w:tcW w:w="2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95C25" w:rsidRDefault="00A95C25">
            <w:pPr>
              <w:rPr>
                <w:color w:val="000000"/>
              </w:rPr>
            </w:pPr>
          </w:p>
        </w:tc>
      </w:tr>
    </w:tbl>
    <w:p w:rsidR="001C74E4" w:rsidRDefault="001C74E4" w:rsidP="001C74E4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3D5B12" w:rsidRPr="001C74E4" w:rsidRDefault="003D5B12" w:rsidP="001C74E4">
      <w:pPr>
        <w:pStyle w:val="Default"/>
        <w:ind w:left="720"/>
        <w:jc w:val="both"/>
        <w:rPr>
          <w:rFonts w:ascii="Times New Roman" w:hAnsi="Times New Roman" w:cs="Times New Roman"/>
          <w:b/>
        </w:rPr>
      </w:pPr>
    </w:p>
    <w:p w:rsidR="001C74E4" w:rsidRDefault="001C74E4" w:rsidP="0024126C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t>Procedimentos de Controle adotados</w:t>
      </w:r>
    </w:p>
    <w:p w:rsidR="007D7FC0" w:rsidRDefault="00A32F91" w:rsidP="007D7FC0">
      <w:pPr>
        <w:spacing w:after="120"/>
        <w:ind w:firstLine="851"/>
        <w:jc w:val="both"/>
      </w:pPr>
      <w:r>
        <w:t xml:space="preserve">O Controle Interno exercido </w:t>
      </w:r>
      <w:r w:rsidR="008B01CF">
        <w:t>nas Unidades Gestoras Prefeitura Municipal de Gaspar, Fundação Municipal de Esportes e Lazer, Fundo Municipal da Criança e do Adolescente e Fundo Municipa</w:t>
      </w:r>
      <w:r>
        <w:t>l de Assistência Social, ficou</w:t>
      </w:r>
      <w:r w:rsidR="008B01CF">
        <w:t xml:space="preserve"> restrit</w:t>
      </w:r>
      <w:r>
        <w:t>o</w:t>
      </w:r>
      <w:r w:rsidR="008F58A2">
        <w:t xml:space="preserve"> à atuação d</w:t>
      </w:r>
      <w:r w:rsidR="00C57C49">
        <w:t>o</w:t>
      </w:r>
      <w:r w:rsidR="008B01CF">
        <w:t xml:space="preserve"> Controlador Geral com auxílio da Encarregada de Controle Interno. Desse modo as ações realizadas</w:t>
      </w:r>
      <w:r w:rsidR="00C57C49">
        <w:t xml:space="preserve"> foram</w:t>
      </w:r>
      <w:r w:rsidR="008B01CF">
        <w:t xml:space="preserve"> </w:t>
      </w:r>
      <w:r w:rsidR="00C57C49">
        <w:t>voltadas ao cumprimento da agenda de obrigações do Departamento</w:t>
      </w:r>
      <w:r w:rsidR="005D1262">
        <w:t xml:space="preserve"> </w:t>
      </w:r>
      <w:r w:rsidR="00A039E0" w:rsidRPr="003D4EB5">
        <w:t>e orientações</w:t>
      </w:r>
      <w:r w:rsidR="003C7069" w:rsidRPr="003D4EB5">
        <w:t xml:space="preserve"> necessárias atinentes aos atos de gestão</w:t>
      </w:r>
      <w:r w:rsidR="00C57C49" w:rsidRPr="003D4EB5">
        <w:t>.</w:t>
      </w:r>
      <w:r w:rsidR="00C57C49">
        <w:t xml:space="preserve"> Não sendo possível realizar </w:t>
      </w:r>
      <w:r w:rsidR="00BB3A64">
        <w:t xml:space="preserve">todos os </w:t>
      </w:r>
      <w:r w:rsidR="00C57C49">
        <w:t>procedimentos</w:t>
      </w:r>
      <w:r w:rsidR="00BB3A64">
        <w:t xml:space="preserve"> necessários a um controle</w:t>
      </w:r>
      <w:r w:rsidR="00C57C49">
        <w:t xml:space="preserve"> mais efetivo dos atos da G</w:t>
      </w:r>
      <w:r w:rsidR="00BB3A64">
        <w:t xml:space="preserve">estão Municipal. </w:t>
      </w:r>
      <w:r w:rsidR="00C57C49">
        <w:t xml:space="preserve">Salientamos que, mesmo com as limitações mencionadas </w:t>
      </w:r>
      <w:r w:rsidR="00BB3A64">
        <w:t>es</w:t>
      </w:r>
      <w:r w:rsidR="00C57C49">
        <w:t>s</w:t>
      </w:r>
      <w:r w:rsidR="00BB3A64">
        <w:t xml:space="preserve">a </w:t>
      </w:r>
      <w:r w:rsidR="00C57C49">
        <w:t>Controladoria</w:t>
      </w:r>
      <w:r w:rsidR="008F58A2">
        <w:t xml:space="preserve"> despendeu esforços, no sentido de </w:t>
      </w:r>
      <w:r w:rsidR="00C57C49">
        <w:t xml:space="preserve">acompanhar alguns processos considerados de </w:t>
      </w:r>
      <w:r w:rsidR="007D7FC0">
        <w:t>maior risco, em especial na Administração Direta que concentra o maior número de servidores e recursos.</w:t>
      </w:r>
      <w:r w:rsidR="00C57C49">
        <w:t xml:space="preserve"> </w:t>
      </w:r>
      <w:r w:rsidR="007D7FC0">
        <w:t>Os pontos acompanhados foram os seguintes:</w:t>
      </w:r>
    </w:p>
    <w:p w:rsidR="003D5B12" w:rsidRPr="003D5B12" w:rsidRDefault="003D5B12" w:rsidP="007D7FC0">
      <w:pPr>
        <w:spacing w:after="120"/>
        <w:ind w:firstLine="851"/>
        <w:jc w:val="both"/>
        <w:rPr>
          <w:sz w:val="6"/>
          <w:szCs w:val="6"/>
        </w:rPr>
      </w:pPr>
    </w:p>
    <w:p w:rsidR="00BB3A64" w:rsidRPr="00806326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806326">
        <w:rPr>
          <w:rFonts w:ascii="Times New Roman" w:hAnsi="Times New Roman" w:cs="Times New Roman"/>
        </w:rPr>
        <w:t>Acompanhamento e controle do pagamento e comprovação documental dos contratos de terceirização de mão de obra;</w:t>
      </w:r>
    </w:p>
    <w:p w:rsidR="007D7FC0" w:rsidRPr="008A42D5" w:rsidRDefault="007D7FC0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8A42D5">
        <w:rPr>
          <w:rFonts w:ascii="Times New Roman" w:hAnsi="Times New Roman" w:cs="Times New Roman"/>
        </w:rPr>
        <w:t>Acompanhamento e controle de pagamentos de diárias</w:t>
      </w:r>
    </w:p>
    <w:p w:rsidR="007D7FC0" w:rsidRPr="008A42D5" w:rsidRDefault="007D7FC0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8A42D5">
        <w:rPr>
          <w:rFonts w:ascii="Times New Roman" w:hAnsi="Times New Roman" w:cs="Times New Roman"/>
        </w:rPr>
        <w:t>Aplicação de treinamento a</w:t>
      </w:r>
      <w:r w:rsidR="0071645F">
        <w:rPr>
          <w:rFonts w:ascii="Times New Roman" w:hAnsi="Times New Roman" w:cs="Times New Roman"/>
        </w:rPr>
        <w:t xml:space="preserve">os dirigentes de entidades que </w:t>
      </w:r>
      <w:r w:rsidRPr="008A42D5">
        <w:rPr>
          <w:rFonts w:ascii="Times New Roman" w:hAnsi="Times New Roman" w:cs="Times New Roman"/>
        </w:rPr>
        <w:t>tiveram seus projetos contemplados com recursos de subvenções.</w:t>
      </w:r>
    </w:p>
    <w:p w:rsidR="00BB3A64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8A42D5">
        <w:rPr>
          <w:rFonts w:ascii="Times New Roman" w:hAnsi="Times New Roman" w:cs="Times New Roman"/>
        </w:rPr>
        <w:t>Acompanhamento e controle do pagamento e das prestações de co</w:t>
      </w:r>
      <w:r w:rsidR="007D7FC0" w:rsidRPr="008A42D5">
        <w:rPr>
          <w:rFonts w:ascii="Times New Roman" w:hAnsi="Times New Roman" w:cs="Times New Roman"/>
        </w:rPr>
        <w:t>ntas de recursos repassados a tí</w:t>
      </w:r>
      <w:r w:rsidRPr="008A42D5">
        <w:rPr>
          <w:rFonts w:ascii="Times New Roman" w:hAnsi="Times New Roman" w:cs="Times New Roman"/>
        </w:rPr>
        <w:t>tulo de subvenções;</w:t>
      </w:r>
    </w:p>
    <w:p w:rsidR="00BB3A64" w:rsidRPr="00806326" w:rsidRDefault="00806326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806326">
        <w:rPr>
          <w:rFonts w:ascii="Times New Roman" w:hAnsi="Times New Roman" w:cs="Times New Roman"/>
        </w:rPr>
        <w:t>Acompanhamento das recomendações emitidas pelo</w:t>
      </w:r>
      <w:r w:rsidR="00BB3A64" w:rsidRPr="00806326">
        <w:rPr>
          <w:rFonts w:ascii="Times New Roman" w:hAnsi="Times New Roman" w:cs="Times New Roman"/>
        </w:rPr>
        <w:t xml:space="preserve"> Egrégio Tribunal de Contas do Estado;</w:t>
      </w:r>
    </w:p>
    <w:p w:rsidR="00806326" w:rsidRPr="003D4EB5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3D4EB5">
        <w:rPr>
          <w:rFonts w:ascii="Times New Roman" w:hAnsi="Times New Roman" w:cs="Times New Roman"/>
        </w:rPr>
        <w:t xml:space="preserve"> Acompanhamento dos índices de gastos de saúde, educação e de gastos com pessoal no Município;</w:t>
      </w:r>
    </w:p>
    <w:p w:rsidR="00BB3A64" w:rsidRPr="003D4EB5" w:rsidRDefault="00BB3A64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3D4EB5">
        <w:rPr>
          <w:rFonts w:ascii="Times New Roman" w:hAnsi="Times New Roman" w:cs="Times New Roman"/>
        </w:rPr>
        <w:t>Demais atividades de aux</w:t>
      </w:r>
      <w:r w:rsidR="00C508FC" w:rsidRPr="003D4EB5">
        <w:rPr>
          <w:rFonts w:ascii="Times New Roman" w:hAnsi="Times New Roman" w:cs="Times New Roman"/>
        </w:rPr>
        <w:t>í</w:t>
      </w:r>
      <w:r w:rsidRPr="003D4EB5">
        <w:rPr>
          <w:rFonts w:ascii="Times New Roman" w:hAnsi="Times New Roman" w:cs="Times New Roman"/>
        </w:rPr>
        <w:t>lio e efetivação de controles no Município, dentro das possibil</w:t>
      </w:r>
      <w:r w:rsidR="00897B47" w:rsidRPr="003D4EB5">
        <w:rPr>
          <w:rFonts w:ascii="Times New Roman" w:hAnsi="Times New Roman" w:cs="Times New Roman"/>
        </w:rPr>
        <w:t>idades e limitações encontradas;</w:t>
      </w:r>
      <w:r w:rsidRPr="003D4EB5">
        <w:rPr>
          <w:rFonts w:ascii="Times New Roman" w:hAnsi="Times New Roman" w:cs="Times New Roman"/>
        </w:rPr>
        <w:t xml:space="preserve"> </w:t>
      </w:r>
    </w:p>
    <w:p w:rsidR="00521788" w:rsidRPr="003D4EB5" w:rsidRDefault="00521788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3D4EB5">
        <w:rPr>
          <w:rFonts w:ascii="Times New Roman" w:hAnsi="Times New Roman" w:cs="Times New Roman"/>
        </w:rPr>
        <w:t xml:space="preserve">Apresentação junto </w:t>
      </w:r>
      <w:r w:rsidR="003D4EB5" w:rsidRPr="003D4EB5">
        <w:rPr>
          <w:rFonts w:ascii="Times New Roman" w:hAnsi="Times New Roman" w:cs="Times New Roman"/>
        </w:rPr>
        <w:t>à</w:t>
      </w:r>
      <w:r w:rsidRPr="003D4EB5">
        <w:rPr>
          <w:rFonts w:ascii="Times New Roman" w:hAnsi="Times New Roman" w:cs="Times New Roman"/>
        </w:rPr>
        <w:t xml:space="preserve"> Câmara Municipal de Audiências Quadrimestrais para verificação das metas</w:t>
      </w:r>
      <w:r w:rsidR="00311209" w:rsidRPr="003D4EB5">
        <w:rPr>
          <w:rFonts w:ascii="Times New Roman" w:hAnsi="Times New Roman" w:cs="Times New Roman"/>
        </w:rPr>
        <w:t>;</w:t>
      </w:r>
    </w:p>
    <w:p w:rsidR="00521788" w:rsidRPr="003D4EB5" w:rsidRDefault="00521788" w:rsidP="00BB3A64">
      <w:pPr>
        <w:pStyle w:val="PargrafodaLista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</w:rPr>
      </w:pPr>
      <w:r w:rsidRPr="003D4EB5">
        <w:rPr>
          <w:rFonts w:ascii="Times New Roman" w:hAnsi="Times New Roman" w:cs="Times New Roman"/>
        </w:rPr>
        <w:t xml:space="preserve">Reuniões </w:t>
      </w:r>
      <w:r w:rsidR="00311209" w:rsidRPr="003D4EB5">
        <w:rPr>
          <w:rFonts w:ascii="Times New Roman" w:hAnsi="Times New Roman" w:cs="Times New Roman"/>
        </w:rPr>
        <w:t xml:space="preserve">e capacitações </w:t>
      </w:r>
      <w:r w:rsidRPr="003D4EB5">
        <w:rPr>
          <w:rFonts w:ascii="Times New Roman" w:hAnsi="Times New Roman" w:cs="Times New Roman"/>
        </w:rPr>
        <w:t>com o Colegiado de Controladores da Associação dos Municípios, com o Ministério</w:t>
      </w:r>
      <w:r w:rsidR="00C4626D">
        <w:rPr>
          <w:rFonts w:ascii="Times New Roman" w:hAnsi="Times New Roman" w:cs="Times New Roman"/>
        </w:rPr>
        <w:t xml:space="preserve"> Pú</w:t>
      </w:r>
      <w:r w:rsidRPr="003D4EB5">
        <w:rPr>
          <w:rFonts w:ascii="Times New Roman" w:hAnsi="Times New Roman" w:cs="Times New Roman"/>
        </w:rPr>
        <w:t>blico</w:t>
      </w:r>
      <w:r w:rsidR="00311209" w:rsidRPr="003D4EB5">
        <w:rPr>
          <w:rFonts w:ascii="Times New Roman" w:hAnsi="Times New Roman" w:cs="Times New Roman"/>
        </w:rPr>
        <w:t xml:space="preserve">, Tribunal de Contas e Controladoria Geral da União, </w:t>
      </w:r>
      <w:r w:rsidRPr="003D4EB5">
        <w:rPr>
          <w:rFonts w:ascii="Times New Roman" w:hAnsi="Times New Roman" w:cs="Times New Roman"/>
        </w:rPr>
        <w:t xml:space="preserve">com o fito de aprimorar a atuação </w:t>
      </w:r>
      <w:r w:rsidR="00311209" w:rsidRPr="003D4EB5">
        <w:rPr>
          <w:rFonts w:ascii="Times New Roman" w:hAnsi="Times New Roman" w:cs="Times New Roman"/>
        </w:rPr>
        <w:t>do Controle Interno.</w:t>
      </w:r>
    </w:p>
    <w:p w:rsidR="00897B47" w:rsidRPr="00C508FC" w:rsidRDefault="00897B47" w:rsidP="00806326">
      <w:pPr>
        <w:pStyle w:val="PargrafodaLista"/>
        <w:spacing w:after="120"/>
        <w:ind w:left="1571"/>
        <w:jc w:val="both"/>
        <w:rPr>
          <w:rFonts w:ascii="Times New Roman" w:hAnsi="Times New Roman" w:cs="Times New Roman"/>
          <w:color w:val="FF0000"/>
        </w:rPr>
      </w:pPr>
    </w:p>
    <w:p w:rsidR="001C74E4" w:rsidRPr="001C74E4" w:rsidRDefault="001C74E4" w:rsidP="00897B47">
      <w:pPr>
        <w:pStyle w:val="Default"/>
        <w:numPr>
          <w:ilvl w:val="0"/>
          <w:numId w:val="1"/>
        </w:numPr>
        <w:spacing w:after="120"/>
        <w:ind w:left="714" w:hanging="357"/>
        <w:jc w:val="both"/>
        <w:rPr>
          <w:rFonts w:ascii="Times New Roman" w:hAnsi="Times New Roman" w:cs="Times New Roman"/>
          <w:b/>
        </w:rPr>
      </w:pPr>
      <w:r w:rsidRPr="001C74E4">
        <w:rPr>
          <w:rFonts w:ascii="Times New Roman" w:hAnsi="Times New Roman" w:cs="Times New Roman"/>
          <w:b/>
        </w:rPr>
        <w:lastRenderedPageBreak/>
        <w:t>Forma/meio de comunicação/integração entre as unidades</w:t>
      </w:r>
    </w:p>
    <w:p w:rsidR="004039B3" w:rsidRDefault="008F58F2" w:rsidP="004039B3">
      <w:pPr>
        <w:spacing w:after="120"/>
        <w:ind w:firstLine="851"/>
        <w:jc w:val="both"/>
      </w:pPr>
      <w:r>
        <w:t>A c</w:t>
      </w:r>
      <w:r w:rsidR="00B16F2A">
        <w:t>omunicação entre as unidades é feita</w:t>
      </w:r>
      <w:r>
        <w:t xml:space="preserve"> através de emails, contatos telefônicos, ofícios ou memorandos e em casos mais específicos reuniões.</w:t>
      </w:r>
      <w:r w:rsidR="00B16F2A">
        <w:t xml:space="preserve"> </w:t>
      </w:r>
      <w:r>
        <w:t xml:space="preserve">As </w:t>
      </w:r>
      <w:r w:rsidR="00897B47">
        <w:t>unidade</w:t>
      </w:r>
      <w:r>
        <w:t>s gestoras que possuem controle interno no Município são: Câmara Municipal e Serviço Autônomo Municipal de Água e Esgoto - SAMAE, sendo que a servidora responsável pelo Controle Interno no</w:t>
      </w:r>
      <w:r w:rsidR="0071645F">
        <w:t xml:space="preserve"> SAMAE</w:t>
      </w:r>
      <w:r w:rsidR="008A42D5">
        <w:t xml:space="preserve"> </w:t>
      </w:r>
      <w:r>
        <w:t>foi nomeada somente em outubro de 2017. O Controlador Geral particip</w:t>
      </w:r>
      <w:r w:rsidR="008A42D5">
        <w:t>ou</w:t>
      </w:r>
      <w:r>
        <w:t xml:space="preserve"> de reuniões e grupos de estudo</w:t>
      </w:r>
      <w:r w:rsidR="00897B47">
        <w:t xml:space="preserve"> do colegiado de Controladores Internos da Associação dos Municípios do Médio Vale do Itajai (AMMVI) </w:t>
      </w:r>
      <w:r>
        <w:t xml:space="preserve">esteve também </w:t>
      </w:r>
      <w:r w:rsidR="00897B47">
        <w:t>participa</w:t>
      </w:r>
      <w:r>
        <w:t>n</w:t>
      </w:r>
      <w:r w:rsidR="00897B47">
        <w:t>do dos eventos disponibilizados pelo Tribunal de Contas</w:t>
      </w:r>
      <w:r>
        <w:t xml:space="preserve"> do Estado de Santa</w:t>
      </w:r>
      <w:r w:rsidR="004039B3">
        <w:t xml:space="preserve"> Catarina.</w:t>
      </w:r>
    </w:p>
    <w:p w:rsidR="004039B3" w:rsidRDefault="004039B3" w:rsidP="004039B3">
      <w:pPr>
        <w:spacing w:after="120"/>
        <w:jc w:val="both"/>
      </w:pPr>
    </w:p>
    <w:p w:rsidR="001C74E4" w:rsidRPr="001C74E4" w:rsidRDefault="004803C8" w:rsidP="004039B3">
      <w:pPr>
        <w:spacing w:after="120"/>
        <w:jc w:val="both"/>
        <w:rPr>
          <w:b/>
        </w:rPr>
      </w:pPr>
      <w:r w:rsidRPr="001C74E4">
        <w:rPr>
          <w:b/>
        </w:rPr>
        <w:t>I</w:t>
      </w:r>
      <w:r w:rsidR="004B76FB">
        <w:rPr>
          <w:b/>
        </w:rPr>
        <w:t>I</w:t>
      </w:r>
      <w:r w:rsidRPr="001C74E4">
        <w:rPr>
          <w:b/>
        </w:rPr>
        <w:t xml:space="preserve"> – RESUMO DAS ATIVIDADES DESENVOLVIDAS PELO OCI E O QUANTITATIVO DAS AUDITORIAS PLANEJADAS E DAS AUDITORIAS REALIZADAS; </w:t>
      </w:r>
    </w:p>
    <w:p w:rsidR="00897B47" w:rsidRDefault="00897B47" w:rsidP="004039B3">
      <w:pPr>
        <w:spacing w:after="120"/>
        <w:jc w:val="both"/>
        <w:rPr>
          <w:b/>
        </w:rPr>
      </w:pPr>
      <w:r>
        <w:t>No</w:t>
      </w:r>
      <w:r w:rsidR="00C508FC">
        <w:t xml:space="preserve"> exercício 2017, não foi </w:t>
      </w:r>
      <w:r>
        <w:t>realizado</w:t>
      </w:r>
      <w:r w:rsidR="00C508FC">
        <w:t xml:space="preserve"> planejamento de Auditorias, pois as Unidades Gestoras aqui informadas ainda não </w:t>
      </w:r>
      <w:r w:rsidR="004039B3">
        <w:t>foram</w:t>
      </w:r>
      <w:r w:rsidR="00C508FC">
        <w:t xml:space="preserve"> contempladas com responsável pelo Controle Interno, e o Órgão </w:t>
      </w:r>
      <w:r>
        <w:t>Central</w:t>
      </w:r>
      <w:r w:rsidR="008F58F2">
        <w:t xml:space="preserve"> do Sistema </w:t>
      </w:r>
      <w:r w:rsidR="00C508FC">
        <w:t>de Controle</w:t>
      </w:r>
      <w:r>
        <w:t xml:space="preserve"> Interno </w:t>
      </w:r>
      <w:r w:rsidR="00B16F2A">
        <w:t>tem atuado nas s</w:t>
      </w:r>
      <w:r w:rsidR="004039B3">
        <w:t>ituações</w:t>
      </w:r>
      <w:r w:rsidR="007300CB">
        <w:t xml:space="preserve"> acima</w:t>
      </w:r>
      <w:r w:rsidR="004039B3">
        <w:t xml:space="preserve"> mencionadas no item </w:t>
      </w:r>
      <w:r w:rsidR="004039B3" w:rsidRPr="003D4EB5">
        <w:t xml:space="preserve">I, letra </w:t>
      </w:r>
      <w:r w:rsidR="00B16F2A" w:rsidRPr="003D4EB5">
        <w:t>b, bem como em casos espe</w:t>
      </w:r>
      <w:r w:rsidR="008A42D5" w:rsidRPr="003D4EB5">
        <w:t>cíficos em que teve</w:t>
      </w:r>
      <w:r w:rsidR="001B194A" w:rsidRPr="003D4EB5">
        <w:t xml:space="preserve"> </w:t>
      </w:r>
      <w:r w:rsidR="004039B3" w:rsidRPr="003D4EB5">
        <w:t>conhecimento</w:t>
      </w:r>
      <w:r w:rsidR="00B16F2A" w:rsidRPr="003D4EB5">
        <w:t xml:space="preserve">. </w:t>
      </w:r>
      <w:r w:rsidR="00311209" w:rsidRPr="003D4EB5">
        <w:t>Salienta-se que além de ser o primeiro ano de mandato,</w:t>
      </w:r>
      <w:r w:rsidR="00D00613" w:rsidRPr="003D4EB5">
        <w:t xml:space="preserve"> houve a alteração na Lei do Controle Interno e mudança de responsável pelo Departamento, o que incorreu em dificuldades das ações de um Controle preventivo.</w:t>
      </w:r>
      <w:r w:rsidR="00D00613">
        <w:rPr>
          <w:color w:val="FF0000"/>
        </w:rPr>
        <w:t xml:space="preserve"> </w:t>
      </w:r>
      <w:r w:rsidR="00B16F2A">
        <w:t xml:space="preserve">Os </w:t>
      </w:r>
      <w:r>
        <w:t>procedimentos de controle</w:t>
      </w:r>
      <w:r w:rsidR="00B16F2A">
        <w:t xml:space="preserve"> realizados visam à</w:t>
      </w:r>
      <w:r>
        <w:t xml:space="preserve"> </w:t>
      </w:r>
      <w:r w:rsidR="00822A59">
        <w:t xml:space="preserve">verificação de possíveis irregularidades sem que </w:t>
      </w:r>
      <w:r w:rsidR="00FF1F8C">
        <w:t>tenham sido formalizados pr</w:t>
      </w:r>
      <w:r w:rsidR="00822A59">
        <w:t>ocedimento</w:t>
      </w:r>
      <w:r w:rsidR="00FF1F8C">
        <w:t>s</w:t>
      </w:r>
      <w:r w:rsidR="00822A59">
        <w:t xml:space="preserve"> de abertura de auditoria.</w:t>
      </w:r>
    </w:p>
    <w:p w:rsidR="001C74E4" w:rsidRPr="001C74E4" w:rsidRDefault="004803C8" w:rsidP="00897B47">
      <w:pPr>
        <w:pStyle w:val="NormalWeb"/>
        <w:jc w:val="both"/>
        <w:rPr>
          <w:b/>
        </w:rPr>
      </w:pPr>
      <w:r w:rsidRPr="001C74E4">
        <w:rPr>
          <w:b/>
        </w:rPr>
        <w:t xml:space="preserve">III – RELAÇÃO DAS IRREGULARIDADES QUE RESULTARAM EM DANO OU PREJUÍZO, INDICANDO OS ATOS DE GESTÃO ILEGAIS, ILEGÍTIMOS OU ANTIECONÔMICOS: </w:t>
      </w:r>
    </w:p>
    <w:p w:rsidR="001C74E4" w:rsidRPr="001C74E4" w:rsidRDefault="001C74E4" w:rsidP="001C74E4">
      <w:pPr>
        <w:pStyle w:val="NormalWeb"/>
        <w:ind w:firstLine="284"/>
        <w:jc w:val="both"/>
        <w:rPr>
          <w:b/>
        </w:rPr>
      </w:pPr>
    </w:p>
    <w:tbl>
      <w:tblPr>
        <w:tblStyle w:val="Tabelacomgrade"/>
        <w:tblW w:w="5324" w:type="pct"/>
        <w:jc w:val="center"/>
        <w:tblInd w:w="-601" w:type="dxa"/>
        <w:tblLook w:val="04A0"/>
      </w:tblPr>
      <w:tblGrid>
        <w:gridCol w:w="1678"/>
        <w:gridCol w:w="2265"/>
        <w:gridCol w:w="1432"/>
        <w:gridCol w:w="1877"/>
        <w:gridCol w:w="1256"/>
        <w:gridCol w:w="1381"/>
      </w:tblGrid>
      <w:tr w:rsidR="00B4335E" w:rsidRPr="00822A59" w:rsidTr="00C77A2F">
        <w:trPr>
          <w:jc w:val="center"/>
        </w:trPr>
        <w:tc>
          <w:tcPr>
            <w:tcW w:w="848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Relatório de Auditoria nº</w:t>
            </w:r>
          </w:p>
        </w:tc>
        <w:tc>
          <w:tcPr>
            <w:tcW w:w="1145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Ato apontado e falha mantida (apó</w:t>
            </w:r>
            <w:bookmarkStart w:id="1" w:name="_GoBack"/>
            <w:bookmarkEnd w:id="1"/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s os esclarecimentos do gestor)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Valor do débito sujeito à glosa</w:t>
            </w:r>
          </w:p>
        </w:tc>
        <w:tc>
          <w:tcPr>
            <w:tcW w:w="949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Medidas adotadas pelo Controle interno</w:t>
            </w:r>
          </w:p>
        </w:tc>
        <w:tc>
          <w:tcPr>
            <w:tcW w:w="635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Medidas adotadas pelo Gestor</w:t>
            </w:r>
          </w:p>
        </w:tc>
        <w:tc>
          <w:tcPr>
            <w:tcW w:w="698" w:type="pct"/>
            <w:shd w:val="clear" w:color="auto" w:fill="D9D9D9" w:themeFill="background1" w:themeFillShade="D9"/>
            <w:vAlign w:val="center"/>
          </w:tcPr>
          <w:p w:rsidR="001C74E4" w:rsidRPr="00822A59" w:rsidRDefault="001C74E4" w:rsidP="0054317C">
            <w:pPr>
              <w:pStyle w:val="Defaul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22A59">
              <w:rPr>
                <w:rFonts w:ascii="Times New Roman" w:hAnsi="Times New Roman" w:cs="Times New Roman"/>
                <w:b/>
                <w:sz w:val="18"/>
                <w:szCs w:val="18"/>
              </w:rPr>
              <w:t>Identificação do gestor e período do mandato</w:t>
            </w:r>
          </w:p>
        </w:tc>
      </w:tr>
      <w:tr w:rsidR="00B4335E" w:rsidRPr="003D5B12" w:rsidTr="00C77A2F">
        <w:trPr>
          <w:jc w:val="center"/>
        </w:trPr>
        <w:tc>
          <w:tcPr>
            <w:tcW w:w="848" w:type="pct"/>
            <w:vAlign w:val="center"/>
          </w:tcPr>
          <w:p w:rsidR="001C74E4" w:rsidRDefault="006916F1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 13/0051695</w:t>
            </w:r>
          </w:p>
          <w:p w:rsidR="001845B3" w:rsidRPr="006916F1" w:rsidRDefault="001845B3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TCE-SC</w:t>
            </w:r>
          </w:p>
          <w:p w:rsidR="004039B3" w:rsidRPr="00FF1F8C" w:rsidRDefault="004039B3" w:rsidP="00822A59">
            <w:pPr>
              <w:pStyle w:val="Defaul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1C74E4" w:rsidRPr="006916F1" w:rsidRDefault="006916F1" w:rsidP="0054317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Ausência de Prestação de Contas Projeto Tupi – 2012</w:t>
            </w:r>
          </w:p>
        </w:tc>
        <w:tc>
          <w:tcPr>
            <w:tcW w:w="724" w:type="pct"/>
            <w:vAlign w:val="center"/>
          </w:tcPr>
          <w:p w:rsidR="001C74E4" w:rsidRPr="006916F1" w:rsidRDefault="006916F1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R$ 10.000,00</w:t>
            </w:r>
          </w:p>
        </w:tc>
        <w:tc>
          <w:tcPr>
            <w:tcW w:w="949" w:type="pct"/>
            <w:vAlign w:val="center"/>
          </w:tcPr>
          <w:p w:rsidR="001C74E4" w:rsidRPr="006916F1" w:rsidRDefault="006916F1" w:rsidP="001845B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Informado o Gestor quanto </w:t>
            </w:r>
            <w:r w:rsidR="001845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à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 medidas a serem adotadas</w:t>
            </w:r>
            <w:r w:rsidR="001845B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seguindo recomendação do TCE</w:t>
            </w:r>
          </w:p>
        </w:tc>
        <w:tc>
          <w:tcPr>
            <w:tcW w:w="635" w:type="pct"/>
            <w:vAlign w:val="center"/>
          </w:tcPr>
          <w:p w:rsidR="001C74E4" w:rsidRPr="006916F1" w:rsidRDefault="006916F1" w:rsidP="00CE3A8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Inscrição em dívida Atíva (A entidade já vem efetuando o pagamento de forma parcelada)</w:t>
            </w:r>
            <w:r w:rsidR="00CE3A8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98" w:type="pct"/>
            <w:vAlign w:val="center"/>
          </w:tcPr>
          <w:p w:rsidR="001C74E4" w:rsidRDefault="00CE3A81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Ocorrido em 2012, Pedro Celso Zuchi.</w:t>
            </w:r>
          </w:p>
          <w:p w:rsidR="00CE3A81" w:rsidRDefault="00CE3A81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CE3A81" w:rsidRDefault="00CE3A81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  <w:r w:rsidRPr="00CE3A81"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Em 2017, Kléber Edson Wan-Dal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l</w:t>
            </w:r>
          </w:p>
          <w:p w:rsidR="004C01BE" w:rsidRDefault="004C01BE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</w:p>
          <w:p w:rsidR="004C01BE" w:rsidRDefault="004C01BE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</w:p>
          <w:p w:rsidR="004C01BE" w:rsidRPr="00CE3A81" w:rsidRDefault="004C01BE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</w:p>
        </w:tc>
      </w:tr>
      <w:tr w:rsidR="00B4335E" w:rsidRPr="003D5B12" w:rsidTr="00C77A2F">
        <w:trPr>
          <w:jc w:val="center"/>
        </w:trPr>
        <w:tc>
          <w:tcPr>
            <w:tcW w:w="848" w:type="pct"/>
            <w:vAlign w:val="center"/>
          </w:tcPr>
          <w:p w:rsidR="00B4335E" w:rsidRDefault="00B4335E" w:rsidP="00CE3A8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 13/0051695</w:t>
            </w:r>
          </w:p>
          <w:p w:rsidR="001845B3" w:rsidRPr="006916F1" w:rsidRDefault="001845B3" w:rsidP="001845B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TCE-SC</w:t>
            </w:r>
          </w:p>
          <w:p w:rsidR="001845B3" w:rsidRPr="006916F1" w:rsidRDefault="001845B3" w:rsidP="00CE3A81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35E" w:rsidRDefault="00B4335E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4335E" w:rsidRDefault="00B4335E" w:rsidP="0054317C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Coro Misto Santa Cecília na  execução do Projeto Concerto Anual 2012</w:t>
            </w:r>
          </w:p>
        </w:tc>
        <w:tc>
          <w:tcPr>
            <w:tcW w:w="724" w:type="pct"/>
            <w:vAlign w:val="center"/>
          </w:tcPr>
          <w:p w:rsidR="00B4335E" w:rsidRDefault="00B4335E" w:rsidP="00822A59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R$ 450,00</w:t>
            </w:r>
          </w:p>
        </w:tc>
        <w:tc>
          <w:tcPr>
            <w:tcW w:w="949" w:type="pct"/>
            <w:vAlign w:val="center"/>
          </w:tcPr>
          <w:p w:rsidR="00B4335E" w:rsidRDefault="00B4335E" w:rsidP="00B7563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Verificou-s e que foram prestadas contas</w:t>
            </w:r>
            <w:r w:rsidR="00B756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35" w:type="pct"/>
            <w:vAlign w:val="center"/>
          </w:tcPr>
          <w:p w:rsidR="00B4335E" w:rsidRDefault="00B4335E" w:rsidP="00B4335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Arquivamento após a devida comprovação das prestações de contas.</w:t>
            </w:r>
          </w:p>
        </w:tc>
        <w:tc>
          <w:tcPr>
            <w:tcW w:w="698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Ocorrido em 2012, Pedro Celso Zuchi.</w:t>
            </w: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  <w:r w:rsidRPr="00CE3A81"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Em 2017, Kléber Edson Wan-Dal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l</w:t>
            </w:r>
          </w:p>
          <w:p w:rsidR="004C01BE" w:rsidRDefault="004C01B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</w:p>
          <w:p w:rsidR="004C01BE" w:rsidRPr="00CE3A81" w:rsidRDefault="004C01B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</w:p>
        </w:tc>
      </w:tr>
      <w:tr w:rsidR="00B4335E" w:rsidRPr="003D5B12" w:rsidTr="00C77A2F">
        <w:trPr>
          <w:jc w:val="center"/>
        </w:trPr>
        <w:tc>
          <w:tcPr>
            <w:tcW w:w="848" w:type="pct"/>
            <w:vAlign w:val="center"/>
          </w:tcPr>
          <w:p w:rsidR="00B4335E" w:rsidRPr="006916F1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REP 13/0051695</w:t>
            </w:r>
          </w:p>
          <w:p w:rsidR="001845B3" w:rsidRPr="006916F1" w:rsidRDefault="001845B3" w:rsidP="001845B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TCE-SC</w:t>
            </w: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4335E" w:rsidRDefault="00B4335E" w:rsidP="00B4335E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Clube de Modelismo Asas do Vale na execução do 27ª FESBRAER 2012</w:t>
            </w:r>
          </w:p>
        </w:tc>
        <w:tc>
          <w:tcPr>
            <w:tcW w:w="724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R$ 244,70</w:t>
            </w:r>
          </w:p>
        </w:tc>
        <w:tc>
          <w:tcPr>
            <w:tcW w:w="949" w:type="pct"/>
            <w:vAlign w:val="center"/>
          </w:tcPr>
          <w:p w:rsidR="00B4335E" w:rsidRDefault="00B4335E" w:rsidP="00B7563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Verificou-s e que foram prestadas contas</w:t>
            </w:r>
            <w:r w:rsidR="00B756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35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Arquivamento após a devida comprovação das prestações de contas.</w:t>
            </w:r>
          </w:p>
        </w:tc>
        <w:tc>
          <w:tcPr>
            <w:tcW w:w="698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Ocorrido em 2012, Pedro Celso Zuchi.</w:t>
            </w: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  <w:r w:rsidRPr="00CE3A81"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Em 2017, Kléber Edson Wan-Dal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l</w:t>
            </w:r>
          </w:p>
          <w:p w:rsidR="004C01BE" w:rsidRPr="00CE3A81" w:rsidRDefault="004C01B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</w:p>
        </w:tc>
      </w:tr>
      <w:tr w:rsidR="00B4335E" w:rsidRPr="003D5B12" w:rsidTr="00C77A2F">
        <w:trPr>
          <w:jc w:val="center"/>
        </w:trPr>
        <w:tc>
          <w:tcPr>
            <w:tcW w:w="848" w:type="pct"/>
            <w:vAlign w:val="center"/>
          </w:tcPr>
          <w:p w:rsidR="00B4335E" w:rsidRPr="006916F1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 13/0051695</w:t>
            </w:r>
          </w:p>
          <w:p w:rsidR="001845B3" w:rsidRPr="006916F1" w:rsidRDefault="001845B3" w:rsidP="001845B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TCE-SC</w:t>
            </w: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KodoKan Judô Clube, execução do Projeto Ceder para Vencer </w:t>
            </w:r>
          </w:p>
        </w:tc>
        <w:tc>
          <w:tcPr>
            <w:tcW w:w="724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R$ 1.824,32</w:t>
            </w:r>
          </w:p>
        </w:tc>
        <w:tc>
          <w:tcPr>
            <w:tcW w:w="949" w:type="pct"/>
            <w:vAlign w:val="center"/>
          </w:tcPr>
          <w:p w:rsidR="00B4335E" w:rsidRDefault="003307B6" w:rsidP="003307B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Verificou-s </w:t>
            </w:r>
            <w:r w:rsidR="00B4335E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que foram prestadas contas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35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Arquivamento após a devida comprovação das prestações de contas.</w:t>
            </w:r>
          </w:p>
        </w:tc>
        <w:tc>
          <w:tcPr>
            <w:tcW w:w="698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Ocorrido em 2012, Pedro Celso Zuchi.</w:t>
            </w: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  <w:r w:rsidRPr="00CE3A81"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Em 2017, Kléber Edson Wan-Dal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l</w:t>
            </w:r>
          </w:p>
          <w:p w:rsidR="004C01BE" w:rsidRPr="00CE3A81" w:rsidRDefault="004C01B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</w:p>
        </w:tc>
      </w:tr>
      <w:tr w:rsidR="00B4335E" w:rsidRPr="003D5B12" w:rsidTr="00C77A2F">
        <w:trPr>
          <w:jc w:val="center"/>
        </w:trPr>
        <w:tc>
          <w:tcPr>
            <w:tcW w:w="848" w:type="pct"/>
            <w:vAlign w:val="center"/>
          </w:tcPr>
          <w:p w:rsidR="00B4335E" w:rsidRPr="006916F1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 13/0051695</w:t>
            </w:r>
          </w:p>
          <w:p w:rsidR="001845B3" w:rsidRPr="006916F1" w:rsidRDefault="001845B3" w:rsidP="001845B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TCE-SC</w:t>
            </w: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Associação de Pais e Amigos do Futebol Menor do Tupi, Projeto Jogando para o Futuro</w:t>
            </w:r>
          </w:p>
        </w:tc>
        <w:tc>
          <w:tcPr>
            <w:tcW w:w="724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R$ 50,42</w:t>
            </w:r>
          </w:p>
        </w:tc>
        <w:tc>
          <w:tcPr>
            <w:tcW w:w="949" w:type="pct"/>
            <w:vAlign w:val="center"/>
          </w:tcPr>
          <w:p w:rsidR="00B4335E" w:rsidRDefault="00B4335E" w:rsidP="003307B6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Verificou-s que foram prestadas</w:t>
            </w:r>
            <w:r w:rsidR="003307B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635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Arquivamento após a devida comprovação das prestações de contas.</w:t>
            </w:r>
          </w:p>
        </w:tc>
        <w:tc>
          <w:tcPr>
            <w:tcW w:w="698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Ocorrido em 2012, Pedro Celso Zuchi.</w:t>
            </w: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  <w:r w:rsidRPr="00CE3A81"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Em 2017, Kléber Edson Wan-Dal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l</w:t>
            </w:r>
          </w:p>
          <w:p w:rsidR="004C01BE" w:rsidRPr="00CE3A81" w:rsidRDefault="004C01B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</w:p>
        </w:tc>
      </w:tr>
      <w:tr w:rsidR="00B4335E" w:rsidRPr="003D5B12" w:rsidTr="00C77A2F">
        <w:trPr>
          <w:jc w:val="center"/>
        </w:trPr>
        <w:tc>
          <w:tcPr>
            <w:tcW w:w="848" w:type="pct"/>
            <w:vAlign w:val="center"/>
          </w:tcPr>
          <w:p w:rsidR="00B4335E" w:rsidRPr="006916F1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REP 13/0051695</w:t>
            </w:r>
          </w:p>
          <w:p w:rsidR="001845B3" w:rsidRPr="006916F1" w:rsidRDefault="001845B3" w:rsidP="001845B3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TCE-SC</w:t>
            </w: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45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Conselho Comunitário de Segurança Santa Terezinha, Projeto Esporte Seguro</w:t>
            </w:r>
          </w:p>
        </w:tc>
        <w:tc>
          <w:tcPr>
            <w:tcW w:w="724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R$ 2.830,00</w:t>
            </w:r>
          </w:p>
        </w:tc>
        <w:tc>
          <w:tcPr>
            <w:tcW w:w="949" w:type="pct"/>
            <w:vAlign w:val="center"/>
          </w:tcPr>
          <w:p w:rsidR="00B4335E" w:rsidRDefault="00B4335E" w:rsidP="00B75634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Verificou-s e que foram prestadas contas</w:t>
            </w:r>
            <w:r w:rsidR="00B7563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635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Arquivamento após a devida comprovação das prestações de contas.</w:t>
            </w:r>
          </w:p>
        </w:tc>
        <w:tc>
          <w:tcPr>
            <w:tcW w:w="698" w:type="pct"/>
            <w:vAlign w:val="center"/>
          </w:tcPr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Ocorrido em 2012, Pedro Celso Zuchi.</w:t>
            </w: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B4335E" w:rsidRDefault="00B4335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  <w:r w:rsidRPr="00CE3A81"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Em 2017, Kléber Edson Wan-Dal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  <w:t>l</w:t>
            </w:r>
          </w:p>
          <w:p w:rsidR="004C01BE" w:rsidRPr="00CE3A81" w:rsidRDefault="004C01BE" w:rsidP="00A0598A">
            <w:pPr>
              <w:pStyle w:val="Default"/>
              <w:rPr>
                <w:rFonts w:ascii="Times New Roman" w:hAnsi="Times New Roman" w:cs="Times New Roman"/>
                <w:color w:val="auto"/>
                <w:sz w:val="18"/>
                <w:szCs w:val="18"/>
                <w:lang w:val="nl-NL"/>
              </w:rPr>
            </w:pPr>
          </w:p>
        </w:tc>
      </w:tr>
    </w:tbl>
    <w:p w:rsidR="00C43AF5" w:rsidRDefault="00CE3A81" w:rsidP="004C01BE">
      <w:pPr>
        <w:spacing w:before="100" w:beforeAutospacing="1" w:after="100" w:afterAutospacing="1"/>
        <w:ind w:left="-426"/>
        <w:rPr>
          <w:color w:val="000000"/>
        </w:rPr>
      </w:pPr>
      <w:r>
        <w:rPr>
          <w:color w:val="000000"/>
        </w:rPr>
        <w:t xml:space="preserve">Observações: </w:t>
      </w:r>
    </w:p>
    <w:p w:rsidR="00CE3A81" w:rsidRDefault="00CE3A81" w:rsidP="004B76FB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Tangente </w:t>
      </w:r>
      <w:r w:rsidR="003D4EB5">
        <w:rPr>
          <w:color w:val="000000"/>
        </w:rPr>
        <w:t>à</w:t>
      </w:r>
      <w:r>
        <w:rPr>
          <w:color w:val="000000"/>
        </w:rPr>
        <w:t xml:space="preserve"> entidade Tupi, o débito </w:t>
      </w:r>
      <w:r w:rsidR="001845B3">
        <w:rPr>
          <w:color w:val="000000"/>
        </w:rPr>
        <w:t>foi inscrito em Dí</w:t>
      </w:r>
      <w:r>
        <w:rPr>
          <w:color w:val="000000"/>
        </w:rPr>
        <w:t>vida Ativa e foi devidamente parcelado</w:t>
      </w:r>
      <w:r w:rsidR="00B4335E">
        <w:rPr>
          <w:color w:val="000000"/>
        </w:rPr>
        <w:t xml:space="preserve"> </w:t>
      </w:r>
      <w:r>
        <w:rPr>
          <w:color w:val="000000"/>
        </w:rPr>
        <w:t xml:space="preserve">e vem sendo quitado, conforme Termo de Parcelamento que </w:t>
      </w:r>
      <w:r w:rsidR="00746C96">
        <w:rPr>
          <w:color w:val="000000"/>
        </w:rPr>
        <w:t>se encontra arquivado junto ao processo de Prestação de Contas</w:t>
      </w:r>
      <w:r>
        <w:rPr>
          <w:color w:val="000000"/>
        </w:rPr>
        <w:t>.</w:t>
      </w:r>
    </w:p>
    <w:p w:rsidR="00CE3A81" w:rsidRPr="00746C96" w:rsidRDefault="00CE3A81" w:rsidP="003D5B12">
      <w:pPr>
        <w:spacing w:before="100" w:beforeAutospacing="1" w:after="100" w:afterAutospacing="1"/>
        <w:jc w:val="both"/>
      </w:pPr>
      <w:r w:rsidRPr="00746C96">
        <w:t>Quanto às demais entidades</w:t>
      </w:r>
      <w:r w:rsidR="003D5B12">
        <w:t xml:space="preserve">: Coro Misto Santa Cecília, Clube de Modelismo Asas do Vale, KodoKan Judô Clube, Associação de Pais e Amigos do Futebol Menor do Tupi, Conselho Comunitário de Segurança Santa Terezinha, </w:t>
      </w:r>
      <w:r w:rsidRPr="00746C96">
        <w:t xml:space="preserve">embora </w:t>
      </w:r>
      <w:r w:rsidR="004C01BE">
        <w:t>tenham sido feitos</w:t>
      </w:r>
      <w:r w:rsidRPr="00746C96">
        <w:t xml:space="preserve"> apontamentos d</w:t>
      </w:r>
      <w:r w:rsidR="004C01BE">
        <w:t>e</w:t>
      </w:r>
      <w:r w:rsidRPr="00746C96">
        <w:t xml:space="preserve"> pendências,</w:t>
      </w:r>
      <w:r w:rsidR="00746C96" w:rsidRPr="00746C96">
        <w:t xml:space="preserve"> os documentos foram localizados e encontram-se arquivados junto às prestações de contas na Controladoria</w:t>
      </w:r>
      <w:r w:rsidRPr="00746C96">
        <w:t xml:space="preserve">, posto </w:t>
      </w:r>
      <w:r w:rsidR="00746C96" w:rsidRPr="00746C96">
        <w:t>isso,</w:t>
      </w:r>
      <w:r w:rsidR="007E289C">
        <w:t xml:space="preserve"> </w:t>
      </w:r>
      <w:r w:rsidR="007300CB">
        <w:t xml:space="preserve">concluiu-se que </w:t>
      </w:r>
      <w:r w:rsidR="007E289C" w:rsidRPr="00746C96">
        <w:t>foram prestadas as contas</w:t>
      </w:r>
      <w:r w:rsidR="007E289C">
        <w:t xml:space="preserve"> de</w:t>
      </w:r>
      <w:r w:rsidR="00746C96" w:rsidRPr="00746C96">
        <w:t xml:space="preserve"> </w:t>
      </w:r>
      <w:r w:rsidRPr="00746C96">
        <w:t xml:space="preserve">todos os aportes concedidos.  </w:t>
      </w:r>
    </w:p>
    <w:p w:rsidR="00CE3A81" w:rsidRPr="00CE3A81" w:rsidRDefault="00CE3A81" w:rsidP="004803C8">
      <w:pPr>
        <w:pStyle w:val="NormalWeb"/>
        <w:jc w:val="both"/>
        <w:rPr>
          <w:rFonts w:eastAsiaTheme="minorHAnsi"/>
          <w:b/>
          <w:color w:val="000000"/>
          <w:lang w:eastAsia="en-US"/>
        </w:rPr>
      </w:pPr>
    </w:p>
    <w:p w:rsidR="001C74E4" w:rsidRDefault="004803C8" w:rsidP="004C01BE">
      <w:pPr>
        <w:pStyle w:val="NormalWeb"/>
        <w:ind w:left="-426"/>
        <w:jc w:val="both"/>
        <w:rPr>
          <w:b/>
        </w:rPr>
      </w:pPr>
      <w:r w:rsidRPr="001C74E4">
        <w:rPr>
          <w:b/>
          <w:shd w:val="clear" w:color="auto" w:fill="FFFFFF"/>
        </w:rPr>
        <w:t>IV -</w:t>
      </w:r>
      <w:r w:rsidRPr="001C74E4">
        <w:rPr>
          <w:b/>
        </w:rPr>
        <w:t xml:space="preserve"> QUANTITATIVO DE TOMADAS DE CONTAS ESPECIAIS INSTAURADAS E OS RESPECTIVOS RESULTADOS, COM INDICAÇÃO DE NÚMEROS, CAUSAS, DATAS DE INSTAURAÇÃO, COMUNICAÇÃO E ENCAMINHAMENTO AO TRIBUNAL DE CONTAS:</w:t>
      </w:r>
    </w:p>
    <w:p w:rsidR="003D5B12" w:rsidRPr="001C74E4" w:rsidRDefault="003D5B12" w:rsidP="003D5335">
      <w:pPr>
        <w:pStyle w:val="NormalWeb"/>
        <w:jc w:val="both"/>
        <w:rPr>
          <w:b/>
        </w:rPr>
      </w:pPr>
    </w:p>
    <w:tbl>
      <w:tblPr>
        <w:tblStyle w:val="Tabelacomgrade"/>
        <w:tblW w:w="5420" w:type="pct"/>
        <w:jc w:val="center"/>
        <w:tblInd w:w="-601" w:type="dxa"/>
        <w:tblLayout w:type="fixed"/>
        <w:tblLook w:val="04A0"/>
      </w:tblPr>
      <w:tblGrid>
        <w:gridCol w:w="1844"/>
        <w:gridCol w:w="1699"/>
        <w:gridCol w:w="1208"/>
        <w:gridCol w:w="1667"/>
        <w:gridCol w:w="1484"/>
        <w:gridCol w:w="983"/>
        <w:gridCol w:w="1182"/>
      </w:tblGrid>
      <w:tr w:rsidR="00C43AF5" w:rsidRPr="004C01BE" w:rsidTr="003D5B12">
        <w:trPr>
          <w:trHeight w:val="1178"/>
          <w:jc w:val="center"/>
        </w:trPr>
        <w:tc>
          <w:tcPr>
            <w:tcW w:w="916" w:type="pct"/>
            <w:shd w:val="clear" w:color="auto" w:fill="D9D9D9" w:themeFill="background1" w:themeFillShade="D9"/>
          </w:tcPr>
          <w:p w:rsidR="0054317C" w:rsidRPr="004C01BE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Tomada de Contas Especial</w:t>
            </w:r>
          </w:p>
        </w:tc>
        <w:tc>
          <w:tcPr>
            <w:tcW w:w="844" w:type="pct"/>
            <w:shd w:val="clear" w:color="auto" w:fill="D9D9D9" w:themeFill="background1" w:themeFillShade="D9"/>
          </w:tcPr>
          <w:p w:rsidR="0054317C" w:rsidRPr="004C01BE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t>Objeto</w:t>
            </w:r>
          </w:p>
        </w:tc>
        <w:tc>
          <w:tcPr>
            <w:tcW w:w="600" w:type="pct"/>
            <w:shd w:val="clear" w:color="auto" w:fill="D9D9D9" w:themeFill="background1" w:themeFillShade="D9"/>
          </w:tcPr>
          <w:p w:rsidR="0054317C" w:rsidRPr="004C01BE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t>Ato de instauraç</w:t>
            </w:r>
            <w:r w:rsidR="00C43AF5"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t>ão e dat</w:t>
            </w:r>
            <w:r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</w:p>
        </w:tc>
        <w:tc>
          <w:tcPr>
            <w:tcW w:w="828" w:type="pct"/>
            <w:shd w:val="clear" w:color="auto" w:fill="D9D9D9" w:themeFill="background1" w:themeFillShade="D9"/>
          </w:tcPr>
          <w:p w:rsidR="0054317C" w:rsidRPr="004C01BE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t>Gestor/Servidor identificado</w:t>
            </w:r>
          </w:p>
        </w:tc>
        <w:tc>
          <w:tcPr>
            <w:tcW w:w="737" w:type="pct"/>
            <w:shd w:val="clear" w:color="auto" w:fill="D9D9D9" w:themeFill="background1" w:themeFillShade="D9"/>
          </w:tcPr>
          <w:p w:rsidR="0054317C" w:rsidRPr="004C01BE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t>Medidas adotadas pela Administração</w:t>
            </w:r>
          </w:p>
        </w:tc>
        <w:tc>
          <w:tcPr>
            <w:tcW w:w="488" w:type="pct"/>
            <w:shd w:val="clear" w:color="auto" w:fill="D9D9D9" w:themeFill="background1" w:themeFillShade="D9"/>
          </w:tcPr>
          <w:p w:rsidR="0054317C" w:rsidRPr="004C01BE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t>Medidas adotadas pelo Gestor</w:t>
            </w:r>
          </w:p>
        </w:tc>
        <w:tc>
          <w:tcPr>
            <w:tcW w:w="587" w:type="pct"/>
            <w:shd w:val="clear" w:color="auto" w:fill="D9D9D9" w:themeFill="background1" w:themeFillShade="D9"/>
          </w:tcPr>
          <w:p w:rsidR="0054317C" w:rsidRPr="004C01BE" w:rsidRDefault="0054317C" w:rsidP="004803C8">
            <w:pPr>
              <w:pStyle w:val="Defaul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t>Resultados</w:t>
            </w:r>
            <w:r w:rsidRPr="004C01BE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(EX: comunicação ao TCESC, MP...)</w:t>
            </w:r>
          </w:p>
        </w:tc>
      </w:tr>
      <w:tr w:rsidR="00A0598A" w:rsidRPr="00F83603" w:rsidTr="003D5B12">
        <w:trPr>
          <w:jc w:val="center"/>
        </w:trPr>
        <w:tc>
          <w:tcPr>
            <w:tcW w:w="916" w:type="pct"/>
          </w:tcPr>
          <w:p w:rsidR="00A0598A" w:rsidRPr="00F83603" w:rsidRDefault="00A0598A" w:rsidP="004803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3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Processo n.: 09/00030631, Decisão n.: 1766/2014 TCE</w:t>
            </w:r>
          </w:p>
          <w:p w:rsidR="00A0598A" w:rsidRPr="00F83603" w:rsidRDefault="00A0598A" w:rsidP="004803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3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TOMADA DE CONTAS 01/2016</w:t>
            </w:r>
          </w:p>
        </w:tc>
        <w:tc>
          <w:tcPr>
            <w:tcW w:w="844" w:type="pct"/>
          </w:tcPr>
          <w:p w:rsidR="00A0598A" w:rsidRPr="00F83603" w:rsidRDefault="00A0598A" w:rsidP="007504BE">
            <w:pPr>
              <w:pStyle w:val="Recuodecorpodetexto"/>
              <w:spacing w:line="276" w:lineRule="auto"/>
              <w:ind w:left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  <w:r w:rsidRPr="00F83603">
              <w:rPr>
                <w:rFonts w:eastAsiaTheme="minorHAnsi"/>
                <w:sz w:val="18"/>
                <w:szCs w:val="18"/>
                <w:lang w:eastAsia="en-US"/>
              </w:rPr>
              <w:t xml:space="preserve">Auditoria Externa na Secretaria de de Saúde Contrato nº FMS-42/2007, Despesas com exames médico-laboratoriais de média e alta complexidade, realizados no período de janeiro de 2005 à abril de 2006 </w:t>
            </w:r>
          </w:p>
        </w:tc>
        <w:tc>
          <w:tcPr>
            <w:tcW w:w="600" w:type="pct"/>
          </w:tcPr>
          <w:p w:rsidR="00A0598A" w:rsidRPr="00F83603" w:rsidRDefault="007504BE" w:rsidP="007504B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3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Portaria 5.065 de 09/11/16.</w:t>
            </w:r>
          </w:p>
          <w:p w:rsidR="007504BE" w:rsidRPr="00F83603" w:rsidRDefault="007504BE" w:rsidP="007504B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828" w:type="pct"/>
          </w:tcPr>
          <w:p w:rsidR="00A0598A" w:rsidRPr="00F83603" w:rsidRDefault="00A0598A" w:rsidP="004803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3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Não houve encerramento da Tomada de Contas</w:t>
            </w:r>
          </w:p>
        </w:tc>
        <w:tc>
          <w:tcPr>
            <w:tcW w:w="737" w:type="pct"/>
          </w:tcPr>
          <w:p w:rsidR="00A0598A" w:rsidRPr="00F83603" w:rsidRDefault="00A0598A" w:rsidP="00A0598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3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Não houve encerramento da Tomada de Contas</w:t>
            </w:r>
          </w:p>
        </w:tc>
        <w:tc>
          <w:tcPr>
            <w:tcW w:w="488" w:type="pct"/>
          </w:tcPr>
          <w:p w:rsidR="00A0598A" w:rsidRPr="00F83603" w:rsidRDefault="00A0598A" w:rsidP="00A0598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3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Não houve encerramento da Tomada de Contas</w:t>
            </w:r>
          </w:p>
        </w:tc>
        <w:tc>
          <w:tcPr>
            <w:tcW w:w="587" w:type="pct"/>
          </w:tcPr>
          <w:p w:rsidR="00A0598A" w:rsidRPr="00F83603" w:rsidRDefault="007504BE" w:rsidP="004803C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83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Instauração</w:t>
            </w:r>
            <w:r w:rsidR="00A0598A" w:rsidRPr="00F83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Tomada de contas </w:t>
            </w:r>
            <w:r w:rsidRPr="00F83603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segue decisão 1766/2014 do TCE</w:t>
            </w:r>
          </w:p>
        </w:tc>
      </w:tr>
    </w:tbl>
    <w:p w:rsidR="00813623" w:rsidRDefault="00813623" w:rsidP="00813623">
      <w:pPr>
        <w:pStyle w:val="NormalWeb"/>
        <w:ind w:left="-567"/>
        <w:jc w:val="both"/>
        <w:rPr>
          <w:b/>
          <w:shd w:val="clear" w:color="auto" w:fill="FFFFFF"/>
        </w:rPr>
      </w:pPr>
    </w:p>
    <w:p w:rsidR="00D20125" w:rsidRDefault="00D20125" w:rsidP="00D20125">
      <w:pPr>
        <w:ind w:left="-567"/>
        <w:jc w:val="both"/>
        <w:rPr>
          <w:b/>
          <w:color w:val="000000"/>
        </w:rPr>
      </w:pPr>
    </w:p>
    <w:p w:rsidR="00D20125" w:rsidRDefault="007E289C" w:rsidP="00D20125">
      <w:pPr>
        <w:ind w:left="-567"/>
        <w:jc w:val="both"/>
        <w:rPr>
          <w:b/>
          <w:caps/>
          <w:shd w:val="clear" w:color="auto" w:fill="FFFFFF"/>
        </w:rPr>
      </w:pPr>
      <w:r>
        <w:rPr>
          <w:b/>
          <w:caps/>
          <w:shd w:val="clear" w:color="auto" w:fill="FFFFFF"/>
        </w:rPr>
        <w:t>V</w:t>
      </w:r>
      <w:r w:rsidR="00D20125" w:rsidRPr="00D20125">
        <w:rPr>
          <w:b/>
          <w:caps/>
          <w:shd w:val="clear" w:color="auto" w:fill="FFFFFF"/>
        </w:rPr>
        <w:t xml:space="preserve"> - Avaliação do cumprimento, pela unidade jurisdicionada, das determinações e recomendações expedidas pelo Tribunal de Contas do Estado no exercício no que tange às providências adotadas em cada caso e eventuais justificativas do gestor para o não cumprimento</w:t>
      </w:r>
      <w:r w:rsidR="005968AD">
        <w:rPr>
          <w:b/>
          <w:caps/>
          <w:shd w:val="clear" w:color="auto" w:fill="FFFFFF"/>
        </w:rPr>
        <w:t>.</w:t>
      </w:r>
    </w:p>
    <w:p w:rsidR="00D20125" w:rsidRDefault="00D20125" w:rsidP="00D20125">
      <w:pPr>
        <w:ind w:left="-567"/>
        <w:jc w:val="both"/>
        <w:rPr>
          <w:b/>
          <w:caps/>
          <w:shd w:val="clear" w:color="auto" w:fill="FFFFFF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245"/>
        <w:gridCol w:w="2293"/>
        <w:gridCol w:w="2859"/>
        <w:gridCol w:w="2215"/>
      </w:tblGrid>
      <w:tr w:rsidR="00B75634" w:rsidRPr="00CE4BB1" w:rsidTr="00B75634">
        <w:trPr>
          <w:trHeight w:val="804"/>
        </w:trPr>
        <w:tc>
          <w:tcPr>
            <w:tcW w:w="1245" w:type="dxa"/>
            <w:shd w:val="clear" w:color="auto" w:fill="BFBFBF" w:themeFill="background1" w:themeFillShade="BF"/>
          </w:tcPr>
          <w:p w:rsidR="00B75634" w:rsidRPr="00B75634" w:rsidRDefault="00B75634" w:rsidP="00B75634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634">
              <w:rPr>
                <w:rFonts w:ascii="Times New Roman" w:hAnsi="Times New Roman" w:cs="Times New Roman"/>
                <w:b/>
                <w:sz w:val="20"/>
                <w:szCs w:val="20"/>
              </w:rPr>
              <w:t>Processo</w:t>
            </w:r>
          </w:p>
        </w:tc>
        <w:tc>
          <w:tcPr>
            <w:tcW w:w="2293" w:type="dxa"/>
            <w:shd w:val="clear" w:color="auto" w:fill="BFBFBF" w:themeFill="background1" w:themeFillShade="BF"/>
          </w:tcPr>
          <w:p w:rsidR="00B75634" w:rsidRPr="00B75634" w:rsidRDefault="00B75634" w:rsidP="00B75634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634">
              <w:rPr>
                <w:rFonts w:ascii="Times New Roman" w:hAnsi="Times New Roman" w:cs="Times New Roman"/>
                <w:b/>
                <w:sz w:val="20"/>
                <w:szCs w:val="20"/>
              </w:rPr>
              <w:t>Apontamento pelo TCE</w:t>
            </w:r>
          </w:p>
        </w:tc>
        <w:tc>
          <w:tcPr>
            <w:tcW w:w="2859" w:type="dxa"/>
            <w:shd w:val="clear" w:color="auto" w:fill="BFBFBF" w:themeFill="background1" w:themeFillShade="BF"/>
          </w:tcPr>
          <w:p w:rsidR="00B75634" w:rsidRPr="00B75634" w:rsidRDefault="00B75634" w:rsidP="00B75634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634">
              <w:rPr>
                <w:rFonts w:ascii="Times New Roman" w:hAnsi="Times New Roman" w:cs="Times New Roman"/>
                <w:b/>
                <w:sz w:val="20"/>
                <w:szCs w:val="20"/>
              </w:rPr>
              <w:t>Providências Gestor</w:t>
            </w:r>
          </w:p>
        </w:tc>
        <w:tc>
          <w:tcPr>
            <w:tcW w:w="2215" w:type="dxa"/>
            <w:shd w:val="clear" w:color="auto" w:fill="BFBFBF" w:themeFill="background1" w:themeFillShade="BF"/>
          </w:tcPr>
          <w:p w:rsidR="00B75634" w:rsidRPr="00B75634" w:rsidRDefault="00B75634" w:rsidP="00B75634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5634">
              <w:rPr>
                <w:rFonts w:ascii="Times New Roman" w:hAnsi="Times New Roman" w:cs="Times New Roman"/>
                <w:b/>
                <w:sz w:val="20"/>
                <w:szCs w:val="20"/>
              </w:rPr>
              <w:t>Análise do Controle Interno</w:t>
            </w:r>
          </w:p>
        </w:tc>
      </w:tr>
      <w:tr w:rsidR="00B75634" w:rsidRPr="00CE4BB1" w:rsidTr="00746C96">
        <w:trPr>
          <w:trHeight w:val="1018"/>
        </w:trPr>
        <w:tc>
          <w:tcPr>
            <w:tcW w:w="1245" w:type="dxa"/>
          </w:tcPr>
          <w:p w:rsidR="00B75634" w:rsidRPr="00B777D7" w:rsidRDefault="00B75634" w:rsidP="00B7563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</w:pPr>
            <w:r w:rsidRPr="00B777D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Processo N.: PCP-17/00173208 TCE-SC</w:t>
            </w:r>
          </w:p>
        </w:tc>
        <w:tc>
          <w:tcPr>
            <w:tcW w:w="2293" w:type="dxa"/>
          </w:tcPr>
          <w:p w:rsidR="00B75634" w:rsidRPr="00B777D7" w:rsidRDefault="00B75634" w:rsidP="00B7563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</w:pPr>
            <w:r w:rsidRPr="00B777D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Recomendações feitas pelo TCE, na sessão de 18/12/2017, referentes à Prestação de Contas do Exercício 2016. </w:t>
            </w:r>
          </w:p>
        </w:tc>
        <w:tc>
          <w:tcPr>
            <w:tcW w:w="2859" w:type="dxa"/>
          </w:tcPr>
          <w:p w:rsidR="007300CB" w:rsidRDefault="007300CB" w:rsidP="00B7563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Em especial quanto ao percentual de gasto co</w:t>
            </w:r>
            <w:r w:rsidR="004C01B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m (MDE) </w:t>
            </w:r>
            <w:r w:rsidR="001A46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E</w:t>
            </w:r>
            <w:r w:rsidR="004C01B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ducação</w:t>
            </w:r>
            <w:r w:rsidR="001A46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 em 2016, o valor</w:t>
            </w:r>
            <w:r w:rsidR="004C01BE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 a menor</w:t>
            </w:r>
            <w:r w:rsidR="001A46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 apontado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 foi aplicado em 2017. Sendo que em 2017 ocorreu cumprimento do percentual previsto.</w:t>
            </w:r>
          </w:p>
          <w:p w:rsidR="004C01BE" w:rsidRDefault="004C01BE" w:rsidP="00B7563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</w:pPr>
          </w:p>
          <w:p w:rsidR="00B75634" w:rsidRPr="00B777D7" w:rsidRDefault="00B75634" w:rsidP="004C01BE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Não houve tempo hábil para</w:t>
            </w:r>
            <w:r w:rsidR="001A460C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que fossem </w:t>
            </w:r>
            <w:r w:rsidRPr="00B777D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adota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das </w:t>
            </w:r>
            <w:r w:rsidR="007300CB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algumas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 das</w:t>
            </w:r>
            <w:r w:rsidRPr="00B777D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 medidas no exercício 2017.  </w:t>
            </w:r>
          </w:p>
        </w:tc>
        <w:tc>
          <w:tcPr>
            <w:tcW w:w="2215" w:type="dxa"/>
          </w:tcPr>
          <w:p w:rsidR="00B75634" w:rsidRPr="00B777D7" w:rsidRDefault="00B75634" w:rsidP="00B75634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Os responsáveis foram informados e as</w:t>
            </w:r>
            <w:r w:rsidRPr="00B777D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 recom</w:t>
            </w:r>
            <w:r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>endações serão seguidas a partir de</w:t>
            </w:r>
            <w:r w:rsidRPr="00B777D7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t-BR"/>
              </w:rPr>
              <w:t xml:space="preserve"> 2018.</w:t>
            </w:r>
          </w:p>
        </w:tc>
      </w:tr>
    </w:tbl>
    <w:p w:rsidR="00D20125" w:rsidRPr="00D20125" w:rsidRDefault="00D20125" w:rsidP="00D20125">
      <w:pPr>
        <w:ind w:left="-567"/>
        <w:jc w:val="both"/>
        <w:rPr>
          <w:b/>
          <w:caps/>
          <w:shd w:val="clear" w:color="auto" w:fill="FFFFFF"/>
        </w:rPr>
      </w:pPr>
    </w:p>
    <w:p w:rsidR="00813623" w:rsidRDefault="00813623" w:rsidP="008B7EA6">
      <w:pPr>
        <w:jc w:val="both"/>
        <w:rPr>
          <w:b/>
          <w:color w:val="000000"/>
        </w:rPr>
      </w:pPr>
    </w:p>
    <w:p w:rsidR="008B7EA6" w:rsidRPr="001C74E4" w:rsidRDefault="009F36F2" w:rsidP="00B777D7">
      <w:pPr>
        <w:ind w:left="-567"/>
        <w:jc w:val="both"/>
        <w:rPr>
          <w:b/>
          <w:color w:val="000000"/>
        </w:rPr>
      </w:pPr>
      <w:r>
        <w:rPr>
          <w:b/>
          <w:color w:val="000000"/>
        </w:rPr>
        <w:t>V</w:t>
      </w:r>
      <w:r w:rsidR="00D20125">
        <w:rPr>
          <w:b/>
          <w:color w:val="000000"/>
        </w:rPr>
        <w:t>I</w:t>
      </w:r>
      <w:r w:rsidR="004803C8" w:rsidRPr="001C74E4">
        <w:rPr>
          <w:b/>
          <w:color w:val="000000"/>
        </w:rPr>
        <w:t xml:space="preserve"> - OUTRAS ANÁLISES DECORRENTES DO DISPOSTO NOS ARTIGOS 20 A 23 DESTA INSTRUÇÃO NORMATIVA.</w:t>
      </w:r>
    </w:p>
    <w:p w:rsidR="00B7375C" w:rsidRDefault="00174832" w:rsidP="004803C8">
      <w:pPr>
        <w:spacing w:before="120" w:after="120"/>
        <w:ind w:firstLine="851"/>
        <w:jc w:val="both"/>
      </w:pPr>
      <w:r>
        <w:t xml:space="preserve">Esta Controladoria </w:t>
      </w:r>
      <w:r w:rsidR="004803C8">
        <w:t>realiz</w:t>
      </w:r>
      <w:r>
        <w:t>ou</w:t>
      </w:r>
      <w:r w:rsidR="005402F0">
        <w:t xml:space="preserve"> </w:t>
      </w:r>
      <w:r w:rsidR="004803C8">
        <w:t>o</w:t>
      </w:r>
      <w:r w:rsidR="00F83603">
        <w:t xml:space="preserve"> controle interno atuando </w:t>
      </w:r>
      <w:r w:rsidR="004C01BE">
        <w:t>em</w:t>
      </w:r>
      <w:r w:rsidR="00F83603">
        <w:t xml:space="preserve"> vá</w:t>
      </w:r>
      <w:r w:rsidR="004803C8">
        <w:t xml:space="preserve">rias unidades de prestação de serviços do Município. </w:t>
      </w:r>
      <w:r w:rsidR="005402F0">
        <w:t>A atuação tende a evoluir com a implantação das Unidades de Controle Interno nas Unidades Gestoras, j</w:t>
      </w:r>
      <w:r w:rsidR="004803C8">
        <w:t>á</w:t>
      </w:r>
      <w:r w:rsidR="005402F0">
        <w:t xml:space="preserve"> previstas na Lei Complementar 81/2017. Será possível avançar no planejamento,</w:t>
      </w:r>
      <w:r w:rsidR="004803C8">
        <w:t xml:space="preserve"> gerenciamento e aplicação dos vários processos de controle necessários </w:t>
      </w:r>
      <w:r w:rsidR="005402F0">
        <w:t>n</w:t>
      </w:r>
      <w:r w:rsidR="004803C8">
        <w:t>o Município,</w:t>
      </w:r>
      <w:r w:rsidR="005402F0">
        <w:t xml:space="preserve"> tornando o controle mais próximo dos processos e possibilitando um resultado mais efetivo. No exercício 2017</w:t>
      </w:r>
      <w:r w:rsidR="004803C8">
        <w:t xml:space="preserve"> </w:t>
      </w:r>
      <w:r w:rsidR="005402F0">
        <w:t xml:space="preserve">a concentração dos trabalhos da Controladoria ficou mais focada nas ações dos Departamentos de Contabilidade, </w:t>
      </w:r>
      <w:r w:rsidR="005402F0">
        <w:lastRenderedPageBreak/>
        <w:t>Compras e Recursos Humanos.</w:t>
      </w:r>
      <w:r w:rsidR="00B7375C">
        <w:t xml:space="preserve"> Esse direcionamento ocorre, devido a esses setores concentrarem processos que envolvem grande volume de recursos financeiros.   </w:t>
      </w:r>
    </w:p>
    <w:p w:rsidR="000C1FBE" w:rsidRDefault="00B7375C" w:rsidP="004803C8">
      <w:pPr>
        <w:spacing w:before="120" w:after="120"/>
        <w:ind w:firstLine="851"/>
        <w:jc w:val="both"/>
      </w:pPr>
      <w:r>
        <w:t>A</w:t>
      </w:r>
      <w:r w:rsidR="000C1FBE">
        <w:t xml:space="preserve">s principais </w:t>
      </w:r>
      <w:r>
        <w:t xml:space="preserve">ações desenvolvidas pela Controladoria nesses </w:t>
      </w:r>
      <w:r w:rsidR="000C1FBE">
        <w:t xml:space="preserve">departamentos </w:t>
      </w:r>
      <w:r>
        <w:t>f</w:t>
      </w:r>
      <w:r w:rsidR="000C1FBE">
        <w:t>o</w:t>
      </w:r>
      <w:r>
        <w:t>ram</w:t>
      </w:r>
      <w:r w:rsidR="000C1FBE">
        <w:t>:</w:t>
      </w:r>
    </w:p>
    <w:p w:rsidR="00B7375C" w:rsidRDefault="000C1FBE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7375C">
        <w:rPr>
          <w:rFonts w:ascii="Times New Roman" w:hAnsi="Times New Roman" w:cs="Times New Roman"/>
          <w:sz w:val="24"/>
          <w:szCs w:val="24"/>
        </w:rPr>
        <w:t>Acompanhamento</w:t>
      </w:r>
      <w:r w:rsidR="00B7375C" w:rsidRPr="00B7375C">
        <w:rPr>
          <w:rFonts w:ascii="Times New Roman" w:hAnsi="Times New Roman" w:cs="Times New Roman"/>
          <w:sz w:val="24"/>
          <w:szCs w:val="24"/>
        </w:rPr>
        <w:t xml:space="preserve"> de </w:t>
      </w:r>
      <w:r w:rsidRPr="00B7375C">
        <w:rPr>
          <w:rFonts w:ascii="Times New Roman" w:hAnsi="Times New Roman" w:cs="Times New Roman"/>
          <w:sz w:val="24"/>
          <w:szCs w:val="24"/>
        </w:rPr>
        <w:t>processos licitatórios</w:t>
      </w:r>
      <w:r w:rsidR="00B7375C" w:rsidRPr="00B7375C">
        <w:rPr>
          <w:rFonts w:ascii="Times New Roman" w:hAnsi="Times New Roman" w:cs="Times New Roman"/>
          <w:sz w:val="24"/>
          <w:szCs w:val="24"/>
        </w:rPr>
        <w:t>;</w:t>
      </w:r>
    </w:p>
    <w:p w:rsidR="000C1FBE" w:rsidRPr="000C1FBE" w:rsidRDefault="000C1FBE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0C1FBE">
        <w:rPr>
          <w:rFonts w:ascii="Times New Roman" w:hAnsi="Times New Roman" w:cs="Times New Roman"/>
          <w:sz w:val="24"/>
          <w:szCs w:val="24"/>
        </w:rPr>
        <w:t>Controle e acompanhamento dos gastos com pessoal, e contrataç</w:t>
      </w:r>
      <w:r w:rsidR="004C01BE">
        <w:rPr>
          <w:rFonts w:ascii="Times New Roman" w:hAnsi="Times New Roman" w:cs="Times New Roman"/>
          <w:sz w:val="24"/>
          <w:szCs w:val="24"/>
        </w:rPr>
        <w:t>ões</w:t>
      </w:r>
      <w:r w:rsidRPr="000C1FBE">
        <w:rPr>
          <w:rFonts w:ascii="Times New Roman" w:hAnsi="Times New Roman" w:cs="Times New Roman"/>
          <w:sz w:val="24"/>
          <w:szCs w:val="24"/>
        </w:rPr>
        <w:t xml:space="preserve"> realizados pelo município;</w:t>
      </w:r>
    </w:p>
    <w:p w:rsidR="000C1FBE" w:rsidRDefault="000C1FBE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Acompanhamento dos registros contábeis;</w:t>
      </w:r>
    </w:p>
    <w:p w:rsidR="000C1FBE" w:rsidRDefault="00B7375C" w:rsidP="000C1FB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Demais ações de orientação e auxílio à</w:t>
      </w:r>
      <w:r w:rsidR="000C1FBE">
        <w:rPr>
          <w:rFonts w:ascii="Times New Roman" w:hAnsi="Times New Roman" w:cs="Times New Roman"/>
          <w:sz w:val="24"/>
          <w:szCs w:val="24"/>
        </w:rPr>
        <w:t xml:space="preserve"> gestão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0C1FBE">
        <w:rPr>
          <w:rFonts w:ascii="Times New Roman" w:hAnsi="Times New Roman" w:cs="Times New Roman"/>
          <w:sz w:val="24"/>
          <w:szCs w:val="24"/>
        </w:rPr>
        <w:t>os órgãos da administração municipal.</w:t>
      </w:r>
    </w:p>
    <w:p w:rsidR="00B7375C" w:rsidRDefault="00B7375C" w:rsidP="000C1FBE">
      <w:pPr>
        <w:spacing w:before="120" w:after="120"/>
        <w:ind w:firstLine="851"/>
        <w:jc w:val="both"/>
      </w:pPr>
      <w:r>
        <w:t>A Controladoria enfrentou grandes desafios</w:t>
      </w:r>
      <w:r w:rsidR="000B3982">
        <w:t>, entre eles a criação e aprovação da Lei Complementar 81/2017, que criou a estrutura e organização do Sistema de Controle Interno, o que vem de encontro aos objetivos desse Departamento, no desempenho eficaz de suas atividades, possibilitando uma gestão pública que responda aos anseios da sociedade.</w:t>
      </w:r>
    </w:p>
    <w:p w:rsidR="00343DC5" w:rsidRPr="001C74E4" w:rsidRDefault="004C01BE" w:rsidP="004C01BE">
      <w:pPr>
        <w:spacing w:before="120" w:after="120"/>
        <w:ind w:firstLine="851"/>
        <w:jc w:val="both"/>
      </w:pPr>
      <w:r>
        <w:t>Sem mais, subscrevo-me r</w:t>
      </w:r>
      <w:r w:rsidR="00343DC5" w:rsidRPr="001C74E4">
        <w:t>espeitosamente,</w:t>
      </w:r>
    </w:p>
    <w:p w:rsidR="008E5104" w:rsidRPr="001C74E4" w:rsidRDefault="008E5104" w:rsidP="00343DC5">
      <w:pPr>
        <w:spacing w:after="120"/>
        <w:jc w:val="center"/>
      </w:pPr>
    </w:p>
    <w:p w:rsidR="00343DC5" w:rsidRPr="001C74E4" w:rsidRDefault="00343DC5" w:rsidP="00343DC5">
      <w:pPr>
        <w:jc w:val="center"/>
        <w:rPr>
          <w:b/>
        </w:rPr>
      </w:pPr>
      <w:r w:rsidRPr="001C74E4">
        <w:rPr>
          <w:b/>
        </w:rPr>
        <w:t xml:space="preserve">JEAN </w:t>
      </w:r>
      <w:r w:rsidR="00FF1F8C">
        <w:rPr>
          <w:b/>
        </w:rPr>
        <w:t>CLÓVIS DA ROSA ZEN</w:t>
      </w:r>
    </w:p>
    <w:p w:rsidR="00FF1F8C" w:rsidRDefault="00FF1F8C" w:rsidP="00343DC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Controlador Geral do Município </w:t>
      </w:r>
    </w:p>
    <w:p w:rsidR="00123E14" w:rsidRPr="001C74E4" w:rsidRDefault="00343DC5" w:rsidP="003D4EB5">
      <w:pPr>
        <w:jc w:val="center"/>
      </w:pPr>
      <w:r w:rsidRPr="008E5104">
        <w:rPr>
          <w:sz w:val="20"/>
          <w:szCs w:val="20"/>
        </w:rPr>
        <w:t xml:space="preserve">Decreto </w:t>
      </w:r>
      <w:r w:rsidR="00FF1F8C">
        <w:rPr>
          <w:sz w:val="20"/>
          <w:szCs w:val="20"/>
        </w:rPr>
        <w:t>7.895</w:t>
      </w:r>
      <w:r w:rsidRPr="008E5104">
        <w:rPr>
          <w:sz w:val="20"/>
          <w:szCs w:val="20"/>
        </w:rPr>
        <w:t xml:space="preserve"> de 0</w:t>
      </w:r>
      <w:r w:rsidR="00FF1F8C">
        <w:rPr>
          <w:sz w:val="20"/>
          <w:szCs w:val="20"/>
        </w:rPr>
        <w:t>6</w:t>
      </w:r>
      <w:r w:rsidRPr="008E5104">
        <w:rPr>
          <w:sz w:val="20"/>
          <w:szCs w:val="20"/>
        </w:rPr>
        <w:t>/02/201</w:t>
      </w:r>
      <w:r w:rsidR="00FF1F8C">
        <w:rPr>
          <w:sz w:val="20"/>
          <w:szCs w:val="20"/>
        </w:rPr>
        <w:t>8</w:t>
      </w:r>
    </w:p>
    <w:sectPr w:rsidR="00123E14" w:rsidRPr="001C74E4" w:rsidSect="007D5A03">
      <w:type w:val="continuous"/>
      <w:pgSz w:w="11906" w:h="16838"/>
      <w:pgMar w:top="28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6E" w:rsidRDefault="00D0696E" w:rsidP="00BB5A2C">
      <w:r>
        <w:separator/>
      </w:r>
    </w:p>
  </w:endnote>
  <w:endnote w:type="continuationSeparator" w:id="0">
    <w:p w:rsidR="00D0696E" w:rsidRDefault="00D0696E" w:rsidP="00BB5A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6E" w:rsidRDefault="00D0696E" w:rsidP="007D5A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0696E" w:rsidRDefault="00D0696E" w:rsidP="007D5A0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056818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252092309"/>
          <w:docPartObj>
            <w:docPartGallery w:val="Page Numbers (Top of Page)"/>
            <w:docPartUnique/>
          </w:docPartObj>
        </w:sdtPr>
        <w:sdtContent>
          <w:p w:rsidR="00D0696E" w:rsidRPr="00821D31" w:rsidRDefault="00D0696E">
            <w:pPr>
              <w:pStyle w:val="Rodap"/>
              <w:jc w:val="right"/>
              <w:rPr>
                <w:sz w:val="16"/>
                <w:szCs w:val="16"/>
              </w:rPr>
            </w:pPr>
            <w:r w:rsidRPr="00821D31">
              <w:rPr>
                <w:sz w:val="16"/>
                <w:szCs w:val="16"/>
              </w:rPr>
              <w:t xml:space="preserve">Página </w:t>
            </w:r>
            <w:r w:rsidRPr="00821D31">
              <w:rPr>
                <w:b/>
                <w:sz w:val="16"/>
                <w:szCs w:val="16"/>
              </w:rPr>
              <w:fldChar w:fldCharType="begin"/>
            </w:r>
            <w:r w:rsidRPr="00821D31">
              <w:rPr>
                <w:b/>
                <w:sz w:val="16"/>
                <w:szCs w:val="16"/>
              </w:rPr>
              <w:instrText>PAGE</w:instrText>
            </w:r>
            <w:r w:rsidRPr="00821D31">
              <w:rPr>
                <w:b/>
                <w:sz w:val="16"/>
                <w:szCs w:val="16"/>
              </w:rPr>
              <w:fldChar w:fldCharType="separate"/>
            </w:r>
            <w:r w:rsidR="00FE2382">
              <w:rPr>
                <w:b/>
                <w:noProof/>
                <w:sz w:val="16"/>
                <w:szCs w:val="16"/>
              </w:rPr>
              <w:t>1</w:t>
            </w:r>
            <w:r w:rsidRPr="00821D31">
              <w:rPr>
                <w:b/>
                <w:sz w:val="16"/>
                <w:szCs w:val="16"/>
              </w:rPr>
              <w:fldChar w:fldCharType="end"/>
            </w:r>
            <w:r w:rsidRPr="00821D31">
              <w:rPr>
                <w:sz w:val="16"/>
                <w:szCs w:val="16"/>
              </w:rPr>
              <w:t xml:space="preserve"> de </w:t>
            </w:r>
            <w:r w:rsidRPr="00821D31">
              <w:rPr>
                <w:b/>
                <w:sz w:val="16"/>
                <w:szCs w:val="16"/>
              </w:rPr>
              <w:fldChar w:fldCharType="begin"/>
            </w:r>
            <w:r w:rsidRPr="00821D31">
              <w:rPr>
                <w:b/>
                <w:sz w:val="16"/>
                <w:szCs w:val="16"/>
              </w:rPr>
              <w:instrText>NUMPAGES</w:instrText>
            </w:r>
            <w:r w:rsidRPr="00821D31">
              <w:rPr>
                <w:b/>
                <w:sz w:val="16"/>
                <w:szCs w:val="16"/>
              </w:rPr>
              <w:fldChar w:fldCharType="separate"/>
            </w:r>
            <w:r w:rsidR="00FE2382">
              <w:rPr>
                <w:b/>
                <w:noProof/>
                <w:sz w:val="16"/>
                <w:szCs w:val="16"/>
              </w:rPr>
              <w:t>2</w:t>
            </w:r>
            <w:r w:rsidRPr="00821D3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D0696E" w:rsidRPr="00C672B3" w:rsidRDefault="00D0696E" w:rsidP="00821D31">
    <w:pPr>
      <w:pStyle w:val="Rodap"/>
      <w:ind w:right="360"/>
      <w:jc w:val="center"/>
      <w:rPr>
        <w:sz w:val="15"/>
        <w:szCs w:val="15"/>
      </w:rPr>
    </w:pPr>
    <w:r w:rsidRPr="00C672B3">
      <w:rPr>
        <w:sz w:val="15"/>
        <w:szCs w:val="15"/>
      </w:rPr>
      <w:t>Rua Coronel Aristili</w:t>
    </w:r>
    <w:r>
      <w:rPr>
        <w:sz w:val="15"/>
        <w:szCs w:val="15"/>
      </w:rPr>
      <w:t>a</w:t>
    </w:r>
    <w:r w:rsidRPr="00C672B3">
      <w:rPr>
        <w:sz w:val="15"/>
        <w:szCs w:val="15"/>
      </w:rPr>
      <w:t>no Ramos, 435 – Praça Getúlio Vargas – Centro – Fone: (47) 3331-6300  –</w:t>
    </w:r>
    <w:r>
      <w:rPr>
        <w:sz w:val="15"/>
        <w:szCs w:val="15"/>
      </w:rPr>
      <w:t xml:space="preserve"> </w:t>
    </w:r>
    <w:r w:rsidRPr="00C672B3">
      <w:rPr>
        <w:sz w:val="15"/>
        <w:szCs w:val="15"/>
      </w:rPr>
      <w:t xml:space="preserve"> CEP 89110-</w:t>
    </w:r>
    <w:r>
      <w:rPr>
        <w:sz w:val="15"/>
        <w:szCs w:val="15"/>
      </w:rPr>
      <w:t>9</w:t>
    </w:r>
    <w:r w:rsidRPr="00C672B3">
      <w:rPr>
        <w:sz w:val="15"/>
        <w:szCs w:val="15"/>
      </w:rPr>
      <w:t>00 – Gaspar – SC</w:t>
    </w:r>
  </w:p>
  <w:p w:rsidR="00D0696E" w:rsidRPr="00232D9C" w:rsidRDefault="00D0696E" w:rsidP="00821D31">
    <w:pPr>
      <w:pStyle w:val="Rodap"/>
      <w:ind w:right="49"/>
      <w:jc w:val="center"/>
      <w:rPr>
        <w:sz w:val="15"/>
        <w:szCs w:val="15"/>
        <w:lang w:val="nl-NL"/>
      </w:rPr>
    </w:pPr>
    <w:r w:rsidRPr="00232D9C">
      <w:rPr>
        <w:sz w:val="15"/>
        <w:szCs w:val="15"/>
        <w:lang w:val="nl-NL"/>
      </w:rPr>
      <w:t>www.gaspar.sc.gov.br                             CNPJ 83.102.244/0001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6E" w:rsidRDefault="00D0696E" w:rsidP="00BB5A2C">
      <w:r>
        <w:separator/>
      </w:r>
    </w:p>
  </w:footnote>
  <w:footnote w:type="continuationSeparator" w:id="0">
    <w:p w:rsidR="00D0696E" w:rsidRDefault="00D0696E" w:rsidP="00BB5A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96E" w:rsidRDefault="00D0696E" w:rsidP="00343DC5">
    <w:pPr>
      <w:pStyle w:val="Cabealho"/>
    </w:pPr>
    <w:r>
      <w:rPr>
        <w:noProof/>
      </w:rPr>
      <w:pict>
        <v:group id="Group 7" o:spid="_x0000_s4097" style="position:absolute;margin-left:0;margin-top:.4pt;width:441pt;height:88.25pt;z-index:251660288" coordorigin="1701,716" coordsize="8820,18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4099" type="#_x0000_t202" style="position:absolute;left:1701;top:716;width:2475;height:1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D0696E" w:rsidRDefault="00D0696E" w:rsidP="00343DC5">
                  <w:r>
                    <w:rPr>
                      <w:noProof/>
                    </w:rPr>
                    <w:drawing>
                      <wp:inline distT="0" distB="0" distL="0" distR="0">
                        <wp:extent cx="771525" cy="847725"/>
                        <wp:effectExtent l="0" t="0" r="9525" b="9525"/>
                        <wp:docPr id="4" name="Imagem 3" descr="gasp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3" descr="gasp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847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Text Box 9" o:spid="_x0000_s4098" type="#_x0000_t202" style="position:absolute;left:3861;top:798;width:6660;height:1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<v:textbox>
              <w:txbxContent>
                <w:p w:rsidR="00D0696E" w:rsidRDefault="00D0696E" w:rsidP="00343DC5">
                  <w:pPr>
                    <w:ind w:right="15"/>
                    <w:jc w:val="right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PREFEITURA DE </w:t>
                  </w:r>
                  <w:r w:rsidRPr="007D5A03">
                    <w:rPr>
                      <w:rFonts w:ascii="Arial" w:hAnsi="Arial" w:cs="Arial"/>
                      <w:b/>
                      <w:sz w:val="28"/>
                      <w:szCs w:val="28"/>
                    </w:rPr>
                    <w:t>GASPAR</w:t>
                  </w:r>
                </w:p>
                <w:p w:rsidR="00D0696E" w:rsidRPr="00EC57AC" w:rsidRDefault="00D0696E" w:rsidP="00343DC5">
                  <w:pPr>
                    <w:ind w:right="15"/>
                    <w:jc w:val="right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 w:rsidRPr="00EC57AC"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Gabinete do Prefeito</w:t>
                  </w:r>
                </w:p>
                <w:p w:rsidR="00D0696E" w:rsidRPr="00EC57AC" w:rsidRDefault="00D0696E" w:rsidP="00343DC5">
                  <w:pPr>
                    <w:ind w:right="15"/>
                    <w:jc w:val="right"/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2"/>
                      <w:szCs w:val="22"/>
                    </w:rPr>
                    <w:t>Controladoria Geral do Município</w:t>
                  </w:r>
                </w:p>
                <w:p w:rsidR="00D0696E" w:rsidRDefault="00D0696E"/>
              </w:txbxContent>
            </v:textbox>
          </v:shape>
        </v:group>
      </w:pict>
    </w:r>
  </w:p>
  <w:p w:rsidR="00D0696E" w:rsidRPr="00343DC5" w:rsidRDefault="00D0696E" w:rsidP="00343DC5">
    <w:pPr>
      <w:pStyle w:val="Cabealho"/>
      <w:rPr>
        <w:szCs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90EC5"/>
    <w:multiLevelType w:val="hybridMultilevel"/>
    <w:tmpl w:val="A2BEFC6E"/>
    <w:lvl w:ilvl="0" w:tplc="0416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13A5768"/>
    <w:multiLevelType w:val="hybridMultilevel"/>
    <w:tmpl w:val="1338C9AE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40A77B8"/>
    <w:multiLevelType w:val="hybridMultilevel"/>
    <w:tmpl w:val="4F2E084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BB5A2C"/>
    <w:rsid w:val="000221CF"/>
    <w:rsid w:val="00031726"/>
    <w:rsid w:val="00081834"/>
    <w:rsid w:val="000B3982"/>
    <w:rsid w:val="000C1FBE"/>
    <w:rsid w:val="000D264F"/>
    <w:rsid w:val="000E735D"/>
    <w:rsid w:val="001227FF"/>
    <w:rsid w:val="00123E14"/>
    <w:rsid w:val="0015001F"/>
    <w:rsid w:val="0015209B"/>
    <w:rsid w:val="00174832"/>
    <w:rsid w:val="00177E00"/>
    <w:rsid w:val="00181DDC"/>
    <w:rsid w:val="001845B3"/>
    <w:rsid w:val="001A3D5B"/>
    <w:rsid w:val="001A460C"/>
    <w:rsid w:val="001B194A"/>
    <w:rsid w:val="001C74E4"/>
    <w:rsid w:val="001C7D3E"/>
    <w:rsid w:val="001D2850"/>
    <w:rsid w:val="001E115F"/>
    <w:rsid w:val="001F0F2A"/>
    <w:rsid w:val="001F4D74"/>
    <w:rsid w:val="00205FB6"/>
    <w:rsid w:val="00207EA8"/>
    <w:rsid w:val="002202AC"/>
    <w:rsid w:val="00232D9C"/>
    <w:rsid w:val="002400F0"/>
    <w:rsid w:val="0024126C"/>
    <w:rsid w:val="0024214C"/>
    <w:rsid w:val="00246D6E"/>
    <w:rsid w:val="0027103C"/>
    <w:rsid w:val="002B1BE4"/>
    <w:rsid w:val="002C333B"/>
    <w:rsid w:val="002D0233"/>
    <w:rsid w:val="002E7F33"/>
    <w:rsid w:val="002F0BAC"/>
    <w:rsid w:val="00311209"/>
    <w:rsid w:val="003307B6"/>
    <w:rsid w:val="0033581F"/>
    <w:rsid w:val="00343DC5"/>
    <w:rsid w:val="00384138"/>
    <w:rsid w:val="003846C1"/>
    <w:rsid w:val="003924ED"/>
    <w:rsid w:val="003949E3"/>
    <w:rsid w:val="00396377"/>
    <w:rsid w:val="003B4622"/>
    <w:rsid w:val="003C7069"/>
    <w:rsid w:val="003D20CF"/>
    <w:rsid w:val="003D4EB5"/>
    <w:rsid w:val="003D5335"/>
    <w:rsid w:val="003D5B12"/>
    <w:rsid w:val="003F6BB8"/>
    <w:rsid w:val="004039B3"/>
    <w:rsid w:val="004112CA"/>
    <w:rsid w:val="00433AF0"/>
    <w:rsid w:val="004803C8"/>
    <w:rsid w:val="004938FB"/>
    <w:rsid w:val="00494870"/>
    <w:rsid w:val="004A439B"/>
    <w:rsid w:val="004A563E"/>
    <w:rsid w:val="004B76FB"/>
    <w:rsid w:val="004C01BE"/>
    <w:rsid w:val="004E44A6"/>
    <w:rsid w:val="00521788"/>
    <w:rsid w:val="005402F0"/>
    <w:rsid w:val="0054317C"/>
    <w:rsid w:val="005443B6"/>
    <w:rsid w:val="005471F9"/>
    <w:rsid w:val="00567231"/>
    <w:rsid w:val="005714AD"/>
    <w:rsid w:val="00571A20"/>
    <w:rsid w:val="0058144D"/>
    <w:rsid w:val="005968AD"/>
    <w:rsid w:val="005A1541"/>
    <w:rsid w:val="005B3767"/>
    <w:rsid w:val="005B7120"/>
    <w:rsid w:val="005C722C"/>
    <w:rsid w:val="005D1262"/>
    <w:rsid w:val="005D1555"/>
    <w:rsid w:val="00612A98"/>
    <w:rsid w:val="006149F9"/>
    <w:rsid w:val="00622575"/>
    <w:rsid w:val="00651ADD"/>
    <w:rsid w:val="0065554B"/>
    <w:rsid w:val="00660732"/>
    <w:rsid w:val="0066194E"/>
    <w:rsid w:val="006916F1"/>
    <w:rsid w:val="006C3C6B"/>
    <w:rsid w:val="006D1BA2"/>
    <w:rsid w:val="006E6476"/>
    <w:rsid w:val="006F1F51"/>
    <w:rsid w:val="0071645F"/>
    <w:rsid w:val="007300CB"/>
    <w:rsid w:val="00746C96"/>
    <w:rsid w:val="007504BE"/>
    <w:rsid w:val="007B63AE"/>
    <w:rsid w:val="007D5A03"/>
    <w:rsid w:val="007D7FC0"/>
    <w:rsid w:val="007E289C"/>
    <w:rsid w:val="007F07B0"/>
    <w:rsid w:val="00806326"/>
    <w:rsid w:val="008123A9"/>
    <w:rsid w:val="00813623"/>
    <w:rsid w:val="00821D31"/>
    <w:rsid w:val="00822A59"/>
    <w:rsid w:val="00825CCF"/>
    <w:rsid w:val="00835FFB"/>
    <w:rsid w:val="0084681F"/>
    <w:rsid w:val="00862D45"/>
    <w:rsid w:val="00865108"/>
    <w:rsid w:val="00874205"/>
    <w:rsid w:val="00897B47"/>
    <w:rsid w:val="008A42D5"/>
    <w:rsid w:val="008B01CF"/>
    <w:rsid w:val="008B7EA6"/>
    <w:rsid w:val="008C6B8F"/>
    <w:rsid w:val="008D18E1"/>
    <w:rsid w:val="008E5104"/>
    <w:rsid w:val="008F58A2"/>
    <w:rsid w:val="008F58F2"/>
    <w:rsid w:val="00922510"/>
    <w:rsid w:val="00922EAE"/>
    <w:rsid w:val="009403D2"/>
    <w:rsid w:val="00954566"/>
    <w:rsid w:val="00980F55"/>
    <w:rsid w:val="0098268C"/>
    <w:rsid w:val="00982D21"/>
    <w:rsid w:val="009930C2"/>
    <w:rsid w:val="009A1105"/>
    <w:rsid w:val="009B04ED"/>
    <w:rsid w:val="009D10A8"/>
    <w:rsid w:val="009E26F6"/>
    <w:rsid w:val="009F36F2"/>
    <w:rsid w:val="00A039E0"/>
    <w:rsid w:val="00A0598A"/>
    <w:rsid w:val="00A179C7"/>
    <w:rsid w:val="00A271DF"/>
    <w:rsid w:val="00A32F91"/>
    <w:rsid w:val="00A75231"/>
    <w:rsid w:val="00A915A6"/>
    <w:rsid w:val="00A95C25"/>
    <w:rsid w:val="00AA1799"/>
    <w:rsid w:val="00AB1207"/>
    <w:rsid w:val="00AB22DD"/>
    <w:rsid w:val="00AE3BD5"/>
    <w:rsid w:val="00B16F2A"/>
    <w:rsid w:val="00B4335E"/>
    <w:rsid w:val="00B7375C"/>
    <w:rsid w:val="00B75634"/>
    <w:rsid w:val="00B777D7"/>
    <w:rsid w:val="00BA7A3F"/>
    <w:rsid w:val="00BB3A64"/>
    <w:rsid w:val="00BB5A2C"/>
    <w:rsid w:val="00BD0748"/>
    <w:rsid w:val="00BE6EC5"/>
    <w:rsid w:val="00C07E59"/>
    <w:rsid w:val="00C43AF5"/>
    <w:rsid w:val="00C4626D"/>
    <w:rsid w:val="00C469D6"/>
    <w:rsid w:val="00C508FC"/>
    <w:rsid w:val="00C57C49"/>
    <w:rsid w:val="00C77A2F"/>
    <w:rsid w:val="00C866E6"/>
    <w:rsid w:val="00C948B1"/>
    <w:rsid w:val="00CA41B4"/>
    <w:rsid w:val="00CC2A4D"/>
    <w:rsid w:val="00CE3A81"/>
    <w:rsid w:val="00CF7975"/>
    <w:rsid w:val="00D00613"/>
    <w:rsid w:val="00D046C6"/>
    <w:rsid w:val="00D0696E"/>
    <w:rsid w:val="00D20125"/>
    <w:rsid w:val="00D47FEF"/>
    <w:rsid w:val="00D61BDF"/>
    <w:rsid w:val="00D70770"/>
    <w:rsid w:val="00D836FC"/>
    <w:rsid w:val="00DB2DBD"/>
    <w:rsid w:val="00E01551"/>
    <w:rsid w:val="00E21C92"/>
    <w:rsid w:val="00E41EE9"/>
    <w:rsid w:val="00E47955"/>
    <w:rsid w:val="00E638B1"/>
    <w:rsid w:val="00E670A3"/>
    <w:rsid w:val="00E67D49"/>
    <w:rsid w:val="00E7426A"/>
    <w:rsid w:val="00EC0B95"/>
    <w:rsid w:val="00ED3378"/>
    <w:rsid w:val="00ED4C97"/>
    <w:rsid w:val="00F126CA"/>
    <w:rsid w:val="00F24AA8"/>
    <w:rsid w:val="00F5773F"/>
    <w:rsid w:val="00F77831"/>
    <w:rsid w:val="00F83603"/>
    <w:rsid w:val="00FE2382"/>
    <w:rsid w:val="00FE435F"/>
    <w:rsid w:val="00FF1F8C"/>
    <w:rsid w:val="00FF4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5A2C"/>
    <w:pPr>
      <w:keepNext/>
      <w:ind w:left="374" w:right="-886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BB5A2C"/>
    <w:pPr>
      <w:keepNext/>
      <w:ind w:left="374" w:right="-886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5A2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B5A2C"/>
    <w:rPr>
      <w:rFonts w:ascii="Arial" w:eastAsia="Times New Roman" w:hAnsi="Arial" w:cs="Arial"/>
      <w:b/>
      <w:bCs/>
      <w:sz w:val="20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B5A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B5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B5A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B5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BB5A2C"/>
    <w:pPr>
      <w:ind w:left="374" w:right="-886" w:firstLine="1122"/>
    </w:pPr>
    <w:rPr>
      <w:rFonts w:ascii="Arial" w:hAnsi="Arial" w:cs="Arial"/>
      <w:sz w:val="20"/>
    </w:rPr>
  </w:style>
  <w:style w:type="character" w:styleId="Hyperlink">
    <w:name w:val="Hyperlink"/>
    <w:basedOn w:val="Fontepargpadro"/>
    <w:rsid w:val="00BB5A2C"/>
    <w:rPr>
      <w:color w:val="0000FF"/>
      <w:u w:val="single"/>
    </w:rPr>
  </w:style>
  <w:style w:type="character" w:styleId="Nmerodepgina">
    <w:name w:val="page number"/>
    <w:basedOn w:val="Fontepargpadro"/>
    <w:rsid w:val="00BB5A2C"/>
  </w:style>
  <w:style w:type="paragraph" w:styleId="Textodebalo">
    <w:name w:val="Balloon Text"/>
    <w:basedOn w:val="Normal"/>
    <w:link w:val="TextodebaloChar"/>
    <w:uiPriority w:val="99"/>
    <w:semiHidden/>
    <w:unhideWhenUsed/>
    <w:rsid w:val="007F07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7B0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A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A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33AF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F0B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0B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AA1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2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7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C74E4"/>
  </w:style>
  <w:style w:type="paragraph" w:styleId="Recuodecorpodetexto2">
    <w:name w:val="Body Text Indent 2"/>
    <w:basedOn w:val="Normal"/>
    <w:link w:val="Recuodecorpodetexto2Char"/>
    <w:rsid w:val="001C74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C74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948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948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5A2C"/>
    <w:pPr>
      <w:keepNext/>
      <w:ind w:left="374" w:right="-886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link w:val="Ttulo2Char"/>
    <w:qFormat/>
    <w:rsid w:val="00BB5A2C"/>
    <w:pPr>
      <w:keepNext/>
      <w:ind w:left="374" w:right="-886"/>
      <w:outlineLvl w:val="1"/>
    </w:pPr>
    <w:rPr>
      <w:rFonts w:ascii="Arial" w:hAnsi="Arial" w:cs="Arial"/>
      <w:b/>
      <w:bCs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5A2C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B5A2C"/>
    <w:rPr>
      <w:rFonts w:ascii="Arial" w:eastAsia="Times New Roman" w:hAnsi="Arial" w:cs="Arial"/>
      <w:b/>
      <w:bCs/>
      <w:sz w:val="20"/>
      <w:szCs w:val="24"/>
      <w:u w:val="single"/>
      <w:lang w:eastAsia="pt-BR"/>
    </w:rPr>
  </w:style>
  <w:style w:type="paragraph" w:styleId="Cabealho">
    <w:name w:val="header"/>
    <w:basedOn w:val="Normal"/>
    <w:link w:val="CabealhoChar"/>
    <w:rsid w:val="00BB5A2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B5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B5A2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BB5A2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BB5A2C"/>
    <w:pPr>
      <w:ind w:left="374" w:right="-886" w:firstLine="1122"/>
    </w:pPr>
    <w:rPr>
      <w:rFonts w:ascii="Arial" w:hAnsi="Arial" w:cs="Arial"/>
      <w:sz w:val="20"/>
    </w:rPr>
  </w:style>
  <w:style w:type="character" w:styleId="Hyperlink">
    <w:name w:val="Hyperlink"/>
    <w:basedOn w:val="Fontepargpadro"/>
    <w:rsid w:val="00BB5A2C"/>
    <w:rPr>
      <w:color w:val="0000FF"/>
      <w:u w:val="single"/>
    </w:rPr>
  </w:style>
  <w:style w:type="character" w:styleId="Nmerodepgina">
    <w:name w:val="page number"/>
    <w:basedOn w:val="Fontepargpadro"/>
    <w:rsid w:val="00BB5A2C"/>
  </w:style>
  <w:style w:type="paragraph" w:styleId="Textodebalo">
    <w:name w:val="Balloon Text"/>
    <w:basedOn w:val="Normal"/>
    <w:link w:val="TextodebaloChar"/>
    <w:uiPriority w:val="99"/>
    <w:semiHidden/>
    <w:unhideWhenUsed/>
    <w:rsid w:val="007F07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7B0"/>
    <w:rPr>
      <w:rFonts w:ascii="Tahoma" w:eastAsia="Times New Roman" w:hAnsi="Tahoma" w:cs="Tahoma"/>
      <w:sz w:val="16"/>
      <w:szCs w:val="16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33AF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33AF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433AF0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F0BA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F0BA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59"/>
    <w:rsid w:val="00AA1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22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C74E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1C74E4"/>
  </w:style>
  <w:style w:type="paragraph" w:styleId="Recuodecorpodetexto2">
    <w:name w:val="Body Text Indent 2"/>
    <w:basedOn w:val="Normal"/>
    <w:link w:val="Recuodecorpodetexto2Char"/>
    <w:rsid w:val="001C74E4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1C74E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9487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948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3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9</Pages>
  <Words>3204</Words>
  <Characters>17304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Cleones Hostins</dc:creator>
  <cp:lastModifiedBy>jean</cp:lastModifiedBy>
  <cp:revision>10</cp:revision>
  <cp:lastPrinted>2018-03-29T22:56:00Z</cp:lastPrinted>
  <dcterms:created xsi:type="dcterms:W3CDTF">2018-03-28T13:50:00Z</dcterms:created>
  <dcterms:modified xsi:type="dcterms:W3CDTF">2018-03-29T22:58:00Z</dcterms:modified>
</cp:coreProperties>
</file>